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32026_080611.xml.htm"/>
      <w:bookmarkStart w:id="1" w:name="ksform406032026_0806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Radhakrishnan Srikanth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PULMONX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CHESAPEAKE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Pulmonx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LUNG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Science &amp;Techn.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2,691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1.54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343,045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2,153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1.54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340,892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3,684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1.54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337,208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5,969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1.54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331,239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by the reporting person to cover tax withholding obligations in connection with the vesting of the Restricted Stock Units (the "RSUs") granted on March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sold by the reporting person to cover tax withholding obligations in connection with the vesting of the RSUs granted on March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by the reporting person to cover tax withholding obligations in connection with the vesting of the RSUs granted on March 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were sold by the reporting person to cover tax withholding obligations in connection with the vesting of the RSUs granted on March 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Aaron Lehman,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8678" TargetMode="External"/><Relationship Id="rId5" Type="http://schemas.openxmlformats.org/officeDocument/2006/relationships/hyperlink" Target="http://www.sec.gov/cgi-bin/browse-edgar?action=getcompany&amp;CIK=00011275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702</Words>
  <Characters>3761</Characters>
  <CharactersWithSpaces>4383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