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4205e8a7a40245098d09967f5c055612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10-Q</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4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Commission File Number: 001-39562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color w:val="000000"/>
          <w:sz w:val="40"/>
        </w:rPr>
      </w:pPr>
      <w:r>
        <w:rPr>
          <w:rFonts w:ascii="Times New Roman;serif" w:hAnsi="Times New Roman;serif"/>
          <w:b/>
          <w:color w:val="000000"/>
          <w:sz w:val="40"/>
        </w:rPr>
        <w:t>PULMONX CORPORATION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4511" w:type="dxa"/>
        <w:jc w:val="left"/>
        <w:tblInd w:w="0" w:type="dxa"/>
        <w:tblLayout w:type="fixed"/>
        <w:tblCellMar>
          <w:top w:w="28" w:type="dxa"/>
          <w:left w:w="28" w:type="dxa"/>
          <w:bottom w:w="28" w:type="dxa"/>
          <w:right w:w="28" w:type="dxa"/>
        </w:tblCellMar>
      </w:tblPr>
      <w:tblGrid>
        <w:gridCol w:w="859"/>
        <w:gridCol w:w="753"/>
        <w:gridCol w:w="758"/>
        <w:gridCol w:w="109"/>
        <w:gridCol w:w="109"/>
        <w:gridCol w:w="109"/>
        <w:gridCol w:w="528"/>
        <w:gridCol w:w="528"/>
        <w:gridCol w:w="758"/>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77-0424412</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700 Chesapeake Drive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Redwood City, California 94063</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1-650-364-0400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including zip code, and telephone number, including area code, of registrant’s principal executive offices)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119" w:type="dxa"/>
        <w:jc w:val="left"/>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LUNG</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reports), and (2) has been subject to such filing requirements for the past 90 days. ☒ Yes ☐ No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 Yes ☐ No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6"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4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4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40"/>
              <w:jc w:val="center"/>
              <w:rPr>
                <w:color w:val="000000"/>
              </w:rPr>
            </w:pPr>
            <w:r>
              <w:rPr>
                <w:color w:val="00000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 Yes ☒ No</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of July 31, 2026, there were 42,948,269 shares of the Registrant’s Common Stock, par value $0.001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4205e8a7a40245098d09967f5c05561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820" w:type="dxa"/>
        <w:jc w:val="left"/>
        <w:tblInd w:w="0" w:type="dxa"/>
        <w:tblLayout w:type="fixed"/>
        <w:tblCellMar>
          <w:top w:w="28" w:type="dxa"/>
          <w:left w:w="28" w:type="dxa"/>
          <w:bottom w:w="28" w:type="dxa"/>
          <w:right w:w="28" w:type="dxa"/>
        </w:tblCellMar>
      </w:tblPr>
      <w:tblGrid>
        <w:gridCol w:w="320"/>
        <w:gridCol w:w="281"/>
        <w:gridCol w:w="283"/>
        <w:gridCol w:w="2454"/>
        <w:gridCol w:w="2454"/>
        <w:gridCol w:w="2457"/>
        <w:gridCol w:w="167"/>
        <w:gridCol w:w="167"/>
        <w:gridCol w:w="237"/>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05e8a7a40245098d09967f5c055612_13">
              <w:r>
                <w:rPr>
                  <w:rStyle w:val="InternetLink"/>
                  <w:rFonts w:ascii="Times New Roman;serif" w:hAnsi="Times New Roman;serif"/>
                  <w:b w:val="false"/>
                  <w:color w:val="0000FF"/>
                  <w:sz w:val="20"/>
                  <w:u w:val="single"/>
                </w:rPr>
                <w:t>FINANCIAL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05e8a7a40245098d09967f5c055612_13">
              <w:r>
                <w:rPr>
                  <w:rStyle w:val="InternetLink"/>
                  <w:rFonts w:ascii="Times New Roman;serif" w:hAnsi="Times New Roman;serif"/>
                  <w:b w:val="false"/>
                  <w:color w:val="0000FF"/>
                  <w:sz w:val="20"/>
                  <w:u w:val="single"/>
                </w:rPr>
                <w:t>5</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05e8a7a40245098d09967f5c055612_16">
              <w:r>
                <w:rPr>
                  <w:rStyle w:val="InternetLink"/>
                  <w:rFonts w:ascii="Times New Roman;serif" w:hAnsi="Times New Roman;serif"/>
                  <w:b w:val="false"/>
                  <w:color w:val="0000FF"/>
                  <w:sz w:val="20"/>
                  <w:u w:val="single"/>
                </w:rPr>
                <w:t>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05e8a7a40245098d09967f5c055612_16">
              <w:r>
                <w:rPr>
                  <w:rStyle w:val="InternetLink"/>
                  <w:rFonts w:ascii="Times New Roman;serif" w:hAnsi="Times New Roman;serif"/>
                  <w:b w:val="false"/>
                  <w:color w:val="0000FF"/>
                  <w:sz w:val="20"/>
                  <w:u w:val="single"/>
                </w:rPr>
                <w:t>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05e8a7a40245098d09967f5c055612_19">
              <w:r>
                <w:rPr>
                  <w:rStyle w:val="InternetLink"/>
                  <w:rFonts w:ascii="Times New Roman;serif" w:hAnsi="Times New Roman;serif"/>
                  <w:b w:val="false"/>
                  <w:color w:val="0000FF"/>
                  <w:sz w:val="20"/>
                  <w:u w:val="single"/>
                </w:rPr>
                <w:t>Condensed 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05e8a7a40245098d09967f5c055612_19">
              <w:r>
                <w:rPr>
                  <w:rStyle w:val="InternetLink"/>
                  <w:rFonts w:ascii="Times New Roman;serif" w:hAnsi="Times New Roman;serif"/>
                  <w:b w:val="false"/>
                  <w:color w:val="0000FF"/>
                  <w:sz w:val="20"/>
                  <w:u w:val="single"/>
                </w:rPr>
                <w:t>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05e8a7a40245098d09967f5c055612_22">
              <w:r>
                <w:rPr>
                  <w:rStyle w:val="InternetLink"/>
                  <w:rFonts w:ascii="Times New Roman;serif" w:hAnsi="Times New Roman;serif"/>
                  <w:b w:val="false"/>
                  <w:color w:val="0000FF"/>
                  <w:sz w:val="20"/>
                  <w:u w:val="single"/>
                </w:rPr>
                <w:t>Condensed Consolidated Statements of Operations and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05e8a7a40245098d09967f5c055612_22">
              <w:r>
                <w:rPr>
                  <w:rStyle w:val="InternetLink"/>
                  <w:rFonts w:ascii="Times New Roman;serif" w:hAnsi="Times New Roman;serif"/>
                  <w:b w:val="false"/>
                  <w:color w:val="0000FF"/>
                  <w:sz w:val="20"/>
                  <w:u w:val="single"/>
                </w:rPr>
                <w:t>7</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05e8a7a40245098d09967f5c055612_25">
              <w:r>
                <w:rPr>
                  <w:rStyle w:val="InternetLink"/>
                  <w:rFonts w:ascii="Times New Roman;serif" w:hAnsi="Times New Roman;serif"/>
                  <w:b w:val="false"/>
                  <w:color w:val="0000FF"/>
                  <w:sz w:val="20"/>
                  <w:u w:val="single"/>
                </w:rPr>
                <w:t>Condensed Consolidated Statements of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05e8a7a40245098d09967f5c055612_25">
              <w:r>
                <w:rPr>
                  <w:rStyle w:val="InternetLink"/>
                  <w:rFonts w:ascii="Times New Roman;serif" w:hAnsi="Times New Roman;serif"/>
                  <w:b w:val="false"/>
                  <w:color w:val="0000FF"/>
                  <w:sz w:val="20"/>
                  <w:u w:val="single"/>
                </w:rPr>
                <w:t>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05e8a7a40245098d09967f5c055612_28">
              <w:r>
                <w:rPr>
                  <w:rStyle w:val="InternetLink"/>
                  <w:rFonts w:ascii="Times New Roman;serif" w:hAnsi="Times New Roman;serif"/>
                  <w:b w:val="false"/>
                  <w:color w:val="0000FF"/>
                  <w:sz w:val="20"/>
                  <w:u w:val="single"/>
                </w:rPr>
                <w:t>Condensed 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05e8a7a40245098d09967f5c055612_28">
              <w:r>
                <w:rPr>
                  <w:rStyle w:val="InternetLink"/>
                  <w:rFonts w:ascii="Times New Roman;serif" w:hAnsi="Times New Roman;serif"/>
                  <w:b w:val="false"/>
                  <w:color w:val="0000FF"/>
                  <w:sz w:val="20"/>
                  <w:u w:val="single"/>
                </w:rPr>
                <w:t>10</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05e8a7a40245098d09967f5c055612_31">
              <w:r>
                <w:rPr>
                  <w:rStyle w:val="InternetLink"/>
                  <w:rFonts w:ascii="Times New Roman;serif" w:hAnsi="Times New Roman;serif"/>
                  <w:b w:val="false"/>
                  <w:color w:val="0000FF"/>
                  <w:sz w:val="20"/>
                  <w:u w:val="single"/>
                </w:rPr>
                <w:t>Notes to Unaudited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05e8a7a40245098d09967f5c055612_31">
              <w:r>
                <w:rPr>
                  <w:rStyle w:val="InternetLink"/>
                  <w:rFonts w:ascii="Times New Roman;serif" w:hAnsi="Times New Roman;serif"/>
                  <w:b w:val="false"/>
                  <w:color w:val="0000FF"/>
                  <w:sz w:val="20"/>
                  <w:u w:val="single"/>
                </w:rPr>
                <w:t>12</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05e8a7a40245098d09967f5c055612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05e8a7a40245098d09967f5c055612_79">
              <w:r>
                <w:rPr>
                  <w:rStyle w:val="InternetLink"/>
                  <w:rFonts w:ascii="Times New Roman;serif" w:hAnsi="Times New Roman;serif"/>
                  <w:b w:val="false"/>
                  <w:color w:val="0000FF"/>
                  <w:sz w:val="20"/>
                  <w:u w:val="single"/>
                </w:rPr>
                <w:t>33</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05e8a7a40245098d09967f5c055612_103">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05e8a7a40245098d09967f5c055612_103">
              <w:r>
                <w:rPr>
                  <w:rStyle w:val="InternetLink"/>
                  <w:rFonts w:ascii="Times New Roman;serif" w:hAnsi="Times New Roman;serif"/>
                  <w:b w:val="false"/>
                  <w:color w:val="0000FF"/>
                  <w:sz w:val="20"/>
                  <w:u w:val="single"/>
                </w:rPr>
                <w:t>46</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05e8a7a40245098d09967f5c055612_106">
              <w:r>
                <w:rPr>
                  <w:rStyle w:val="InternetLink"/>
                  <w:rFonts w:ascii="Times New Roman;serif" w:hAnsi="Times New Roman;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05e8a7a40245098d09967f5c055612_106">
              <w:r>
                <w:rPr>
                  <w:rStyle w:val="InternetLink"/>
                  <w:rFonts w:ascii="Times New Roman;serif" w:hAnsi="Times New Roman;serif"/>
                  <w:b w:val="false"/>
                  <w:color w:val="0000FF"/>
                  <w:sz w:val="20"/>
                  <w:u w:val="single"/>
                </w:rPr>
                <w:t>47</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05e8a7a40245098d09967f5c055612_109">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05e8a7a40245098d09967f5c055612_109">
              <w:r>
                <w:rPr>
                  <w:rStyle w:val="InternetLink"/>
                  <w:rFonts w:ascii="Times New Roman;serif" w:hAnsi="Times New Roman;serif"/>
                  <w:b w:val="false"/>
                  <w:color w:val="0000FF"/>
                  <w:sz w:val="20"/>
                  <w:u w:val="single"/>
                </w:rPr>
                <w:t>48</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05e8a7a40245098d09967f5c055612_112">
              <w:r>
                <w:rPr>
                  <w:rStyle w:val="InternetLink"/>
                  <w:rFonts w:ascii="Times New Roman;serif" w:hAnsi="Times New Roman;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05e8a7a40245098d09967f5c055612_112">
              <w:r>
                <w:rPr>
                  <w:rStyle w:val="InternetLink"/>
                  <w:rFonts w:ascii="Times New Roman;serif" w:hAnsi="Times New Roman;serif"/>
                  <w:b w:val="false"/>
                  <w:color w:val="0000FF"/>
                  <w:sz w:val="20"/>
                  <w:u w:val="single"/>
                </w:rPr>
                <w:t>48</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05e8a7a40245098d09967f5c055612_115">
              <w:r>
                <w:rPr>
                  <w:rStyle w:val="InternetLink"/>
                  <w:rFonts w:ascii="Times New Roman;serif" w:hAnsi="Times New Roman;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05e8a7a40245098d09967f5c055612_115">
              <w:r>
                <w:rPr>
                  <w:rStyle w:val="InternetLink"/>
                  <w:rFonts w:ascii="Times New Roman;serif" w:hAnsi="Times New Roman;serif"/>
                  <w:b w:val="false"/>
                  <w:color w:val="0000FF"/>
                  <w:sz w:val="20"/>
                  <w:u w:val="single"/>
                </w:rPr>
                <w:t>49</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05e8a7a40245098d09967f5c055612_118">
              <w:r>
                <w:rPr>
                  <w:rStyle w:val="InternetLink"/>
                  <w:rFonts w:ascii="Times New Roman;serif" w:hAnsi="Times New Roman;serif"/>
                  <w:b w:val="false"/>
                  <w:color w:val="0000FF"/>
                  <w:sz w:val="20"/>
                  <w:u w:val="single"/>
                </w:rPr>
                <w:t>Unregistered Sales of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05e8a7a40245098d09967f5c055612_118">
              <w:r>
                <w:rPr>
                  <w:rStyle w:val="InternetLink"/>
                  <w:rFonts w:ascii="Times New Roman;serif" w:hAnsi="Times New Roman;serif"/>
                  <w:b w:val="false"/>
                  <w:color w:val="0000FF"/>
                  <w:sz w:val="20"/>
                  <w:u w:val="single"/>
                </w:rPr>
                <w:t>109</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05e8a7a40245098d09967f5c055612_121">
              <w:r>
                <w:rPr>
                  <w:rStyle w:val="InternetLink"/>
                  <w:rFonts w:ascii="Times New Roman;serif" w:hAnsi="Times New Roman;serif"/>
                  <w:b w:val="false"/>
                  <w:color w:val="0000FF"/>
                  <w:sz w:val="20"/>
                  <w:u w:val="single"/>
                </w:rPr>
                <w:t>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05e8a7a40245098d09967f5c055612_121">
              <w:r>
                <w:rPr>
                  <w:rStyle w:val="InternetLink"/>
                  <w:rFonts w:ascii="Times New Roman;serif" w:hAnsi="Times New Roman;serif"/>
                  <w:b w:val="false"/>
                  <w:color w:val="0000FF"/>
                  <w:sz w:val="20"/>
                  <w:u w:val="single"/>
                </w:rPr>
                <w:t>109</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05e8a7a40245098d09967f5c055612_124">
              <w:r>
                <w:rPr>
                  <w:rStyle w:val="InternetLink"/>
                  <w:rFonts w:ascii="Times New Roman;serif" w:hAnsi="Times New Roman;serif"/>
                  <w:b w:val="false"/>
                  <w:color w:val="0000FF"/>
                  <w:sz w:val="20"/>
                  <w:u w:val="single"/>
                </w:rPr>
                <w:t>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05e8a7a40245098d09967f5c055612_124">
              <w:r>
                <w:rPr>
                  <w:rStyle w:val="InternetLink"/>
                  <w:rFonts w:ascii="Times New Roman;serif" w:hAnsi="Times New Roman;serif"/>
                  <w:b w:val="false"/>
                  <w:color w:val="0000FF"/>
                  <w:sz w:val="20"/>
                  <w:u w:val="single"/>
                </w:rPr>
                <w:t>109</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05e8a7a40245098d09967f5c055612_127">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05e8a7a40245098d09967f5c055612_127">
              <w:r>
                <w:rPr>
                  <w:rStyle w:val="InternetLink"/>
                  <w:rFonts w:ascii="Times New Roman;serif" w:hAnsi="Times New Roman;serif"/>
                  <w:b w:val="false"/>
                  <w:color w:val="0000FF"/>
                  <w:sz w:val="20"/>
                  <w:u w:val="single"/>
                </w:rPr>
                <w:t>109</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05e8a7a40245098d09967f5c055612_133">
              <w:r>
                <w:rPr>
                  <w:rStyle w:val="InternetLink"/>
                  <w:rFonts w:ascii="Times New Roman;serif" w:hAnsi="Times New Roman;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05e8a7a40245098d09967f5c055612_133">
              <w:r>
                <w:rPr>
                  <w:rStyle w:val="InternetLink"/>
                  <w:rFonts w:ascii="Times New Roman;serif" w:hAnsi="Times New Roman;serif"/>
                  <w:b w:val="false"/>
                  <w:color w:val="0000FF"/>
                  <w:sz w:val="20"/>
                  <w:u w:val="single"/>
                </w:rPr>
                <w:t>109</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05e8a7a40245098d09967f5c055612_136">
              <w:r>
                <w:rPr>
                  <w:rStyle w:val="InternetLink"/>
                  <w:rFonts w:ascii="Times New Roman;serif" w:hAnsi="Times New Roman;serif"/>
                  <w:b w:val="false"/>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05e8a7a40245098d09967f5c055612_136">
              <w:r>
                <w:rPr>
                  <w:rStyle w:val="InternetLink"/>
                  <w:rFonts w:ascii="Times New Roman;serif" w:hAnsi="Times New Roman;serif"/>
                  <w:b w:val="false"/>
                  <w:color w:val="0000FF"/>
                  <w:sz w:val="20"/>
                  <w:u w:val="single"/>
                </w:rPr>
                <w:t>111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4205e8a7a40245098d09967f5c05561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forward-looking statements within the meaning of Section 27A of the Securities Act of 1933, as amended, and Section 21E of the Securities Exchange Act of 1934, as amended, about us and our industry that involve substantial risks and uncertainties. All statements other than statements of historical facts contained in this Quarterly Report on Form 10-Q, including statements regarding our future results of operations and financial condition, business strategy, plans, and objectives of management for future operations and statements that are necessarily dependent upon future events are forward-looking statements. In some cases, you can identify forward-looking statements by words such as “may,” “might,” “will,” “objective,” “intend,” “should,” “could,” “can,” “would,” “expect,” “believe,” “anticipate,” “project,” “target,” “design,” “estimate,” “predict,” “potential,” “plan” or the negative of these terms or other similar expressions, although not all forward-looking statements contain these words.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speak only as of the date of this Quarterly Report on Form 10-Q and are subject to a number of known and unknown risks, uncertainties, and assumptions, including risks described in the section entitled “Risk Factors.” These risks are not exhaustive. Other sections of this Quarterly Report on Form 10-Q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You should not rely on these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Quarterly Report on Form 10-Q or to conform these statements to actual results or to changes in our expectations, whether as a result of any new information, future events, changed circumstances or otherwise. Forward-looking statements contained in this Quarterly Report on Form 10-Q include, but are not limited to, statements about: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ability to design, develop, manufacture and market innovative products to treat patients with challenging medical conditions, particularly those with severe chronic obstructive pulmonary disease (“COPD”) and emphysema;</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expected future growth, including growth in international sales;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expected future growth of our sales and marketing organization;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size and growth potential of the markets for our products, and our ability to serve those markets;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rate and degree of market acceptance of our products;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coverage and reimbursement for procedures performed using our products;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performance of third parties in connection with the development of our products, including third-party suppliers;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regulatory developments in the United States and foreign countries;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ability to obtain and maintain regulatory approval, certification or clearance of our products on expected timelines;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4205e8a7a40245098d09967f5c05561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plans to research, develop and commercialize our products and any other approved or cleared product;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ability to retain and hire our senior management and other highly qualified personnel;</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development, regulatory approval, efficacy and commercialization of competing products and technologies in our industry;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ability to develop and maintain our corporate infrastructure, including an effective system of internal controls;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financial performance and capital requirements;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effects of developments in United States and international laws or policies, including changes in U.S. trade policies and tariffs;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expectations regarding our ability to obtain and maintain intellectual property protection for our products, as well as our ability to operate our business without infringing the intellectual property rights of others;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expectations regarding the impact of any public health crises on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You should read this Quarterly Report on Form 10-Q and the documents that we reference in this Quarterly Report on Form 10-Q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All brand names or trademarks appearing in this Quarterly Report on Form 10-Q are the property of their respective holders. Unless the context requires otherwise, references in this Quarterly Report on Form 10-Q to “Pulmonx,” the “Company,” “we,” “us,” and “our” refer to Pulmonx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4205e8a7a40245098d09967f5c05561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center"/>
        <w:rPr/>
      </w:pPr>
      <w:r>
        <w:rPr/>
      </w:r>
    </w:p>
    <w:tbl>
      <w:tblPr>
        <w:tblW w:w="6511" w:type="dxa"/>
        <w:jc w:val="left"/>
        <w:tblInd w:w="0" w:type="dxa"/>
        <w:tblLayout w:type="fixed"/>
        <w:tblCellMar>
          <w:top w:w="28" w:type="dxa"/>
          <w:left w:w="28" w:type="dxa"/>
          <w:bottom w:w="28" w:type="dxa"/>
          <w:right w:w="28" w:type="dxa"/>
        </w:tblCellMar>
      </w:tblPr>
      <w:tblGrid>
        <w:gridCol w:w="1258"/>
        <w:gridCol w:w="1111"/>
        <w:gridCol w:w="1125"/>
        <w:gridCol w:w="211"/>
        <w:gridCol w:w="826"/>
        <w:gridCol w:w="109"/>
        <w:gridCol w:w="109"/>
        <w:gridCol w:w="109"/>
        <w:gridCol w:w="109"/>
        <w:gridCol w:w="273"/>
        <w:gridCol w:w="1072"/>
        <w:gridCol w:w="199"/>
      </w:tblGrid>
      <w:tr>
        <w:trPr/>
        <w:tc>
          <w:tcPr>
            <w:tcW w:w="125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69,751 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101,684 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inventory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129,291 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20,058 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75,175 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9)</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4205e8a7a40245098d09967f5c055612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860"/>
        <w:gridCol w:w="2333"/>
        <w:gridCol w:w="2347"/>
        <w:gridCol w:w="211"/>
        <w:gridCol w:w="826"/>
        <w:gridCol w:w="109"/>
        <w:gridCol w:w="109"/>
        <w:gridCol w:w="109"/>
        <w:gridCol w:w="109"/>
        <w:gridCol w:w="211"/>
        <w:gridCol w:w="826"/>
        <w:gridCol w:w="155"/>
      </w:tblGrid>
      <w:tr>
        <w:trPr/>
        <w:tc>
          <w:tcPr>
            <w:tcW w:w="2860"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10,000,000 shares authorized; no shares issued and outstanding as of June 30, 2026 and December 31,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200,000,000 shares authorized as of June 30, 2026 and December 31, 2025; 42,948,269 shares issued and outstanding as of June 30, 2026 and 41,673,648 shares issued and outstanding as of December 31, 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573,272 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(521,558)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54,116 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129,291 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4205e8a7a40245098d09967f5c05561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center"/>
        <w:rPr/>
      </w:pPr>
      <w:r>
        <w:rPr/>
      </w:r>
    </w:p>
    <w:tbl>
      <w:tblPr>
        <w:tblW w:w="10205" w:type="dxa"/>
        <w:jc w:val="left"/>
        <w:tblInd w:w="0" w:type="dxa"/>
        <w:tblLayout w:type="fixed"/>
        <w:tblCellMar>
          <w:top w:w="28" w:type="dxa"/>
          <w:left w:w="28" w:type="dxa"/>
          <w:bottom w:w="28" w:type="dxa"/>
          <w:right w:w="28" w:type="dxa"/>
        </w:tblCellMar>
      </w:tblPr>
      <w:tblGrid>
        <w:gridCol w:w="1894"/>
        <w:gridCol w:w="1269"/>
        <w:gridCol w:w="1254"/>
        <w:gridCol w:w="240"/>
        <w:gridCol w:w="841"/>
        <w:gridCol w:w="109"/>
        <w:gridCol w:w="109"/>
        <w:gridCol w:w="109"/>
        <w:gridCol w:w="109"/>
        <w:gridCol w:w="240"/>
        <w:gridCol w:w="841"/>
        <w:gridCol w:w="109"/>
        <w:gridCol w:w="109"/>
        <w:gridCol w:w="109"/>
        <w:gridCol w:w="109"/>
        <w:gridCol w:w="240"/>
        <w:gridCol w:w="841"/>
        <w:gridCol w:w="109"/>
        <w:gridCol w:w="109"/>
        <w:gridCol w:w="109"/>
        <w:gridCol w:w="109"/>
        <w:gridCol w:w="240"/>
        <w:gridCol w:w="841"/>
        <w:gridCol w:w="156"/>
      </w:tblGrid>
      <w:tr>
        <w:trPr/>
        <w:tc>
          <w:tcPr>
            <w:tcW w:w="1894"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tax</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losses on marketable securities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loss per share attributable to common stockholders, basic and diluted</w:t>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42,468,762 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40,429,655 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42,184,793 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40,193,469 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4205e8a7a40245098d09967f5c05561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747"/>
        <w:gridCol w:w="340"/>
        <w:gridCol w:w="342"/>
        <w:gridCol w:w="109"/>
        <w:gridCol w:w="109"/>
        <w:gridCol w:w="109"/>
        <w:gridCol w:w="540"/>
        <w:gridCol w:w="541"/>
        <w:gridCol w:w="196"/>
        <w:gridCol w:w="109"/>
        <w:gridCol w:w="109"/>
        <w:gridCol w:w="109"/>
        <w:gridCol w:w="214"/>
        <w:gridCol w:w="366"/>
        <w:gridCol w:w="111"/>
        <w:gridCol w:w="109"/>
        <w:gridCol w:w="109"/>
        <w:gridCol w:w="109"/>
        <w:gridCol w:w="217"/>
        <w:gridCol w:w="853"/>
        <w:gridCol w:w="112"/>
        <w:gridCol w:w="109"/>
        <w:gridCol w:w="109"/>
        <w:gridCol w:w="109"/>
        <w:gridCol w:w="293"/>
        <w:gridCol w:w="856"/>
        <w:gridCol w:w="151"/>
        <w:gridCol w:w="109"/>
        <w:gridCol w:w="109"/>
        <w:gridCol w:w="109"/>
        <w:gridCol w:w="213"/>
        <w:gridCol w:w="854"/>
        <w:gridCol w:w="110"/>
        <w:gridCol w:w="109"/>
        <w:gridCol w:w="109"/>
        <w:gridCol w:w="109"/>
        <w:gridCol w:w="228"/>
        <w:gridCol w:w="783"/>
        <w:gridCol w:w="176"/>
      </w:tblGrid>
      <w:tr>
        <w:trPr/>
        <w:tc>
          <w:tcPr>
            <w:tcW w:w="74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41,673,648 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573,272 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(521,558)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54,116 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379,781 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pursuant to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157,190 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warrant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42,237,203 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578,762 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(535,212)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711,066 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42,948,269 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582,396 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(545,292)</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4205e8a7a40245098d09967f5c055612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47"/>
        <w:gridCol w:w="340"/>
        <w:gridCol w:w="342"/>
        <w:gridCol w:w="109"/>
        <w:gridCol w:w="109"/>
        <w:gridCol w:w="109"/>
        <w:gridCol w:w="540"/>
        <w:gridCol w:w="541"/>
        <w:gridCol w:w="196"/>
        <w:gridCol w:w="109"/>
        <w:gridCol w:w="109"/>
        <w:gridCol w:w="109"/>
        <w:gridCol w:w="214"/>
        <w:gridCol w:w="366"/>
        <w:gridCol w:w="111"/>
        <w:gridCol w:w="109"/>
        <w:gridCol w:w="109"/>
        <w:gridCol w:w="109"/>
        <w:gridCol w:w="217"/>
        <w:gridCol w:w="853"/>
        <w:gridCol w:w="112"/>
        <w:gridCol w:w="109"/>
        <w:gridCol w:w="109"/>
        <w:gridCol w:w="109"/>
        <w:gridCol w:w="293"/>
        <w:gridCol w:w="856"/>
        <w:gridCol w:w="151"/>
        <w:gridCol w:w="109"/>
        <w:gridCol w:w="109"/>
        <w:gridCol w:w="109"/>
        <w:gridCol w:w="213"/>
        <w:gridCol w:w="854"/>
        <w:gridCol w:w="110"/>
        <w:gridCol w:w="109"/>
        <w:gridCol w:w="109"/>
        <w:gridCol w:w="109"/>
        <w:gridCol w:w="228"/>
        <w:gridCol w:w="783"/>
        <w:gridCol w:w="176"/>
      </w:tblGrid>
      <w:tr>
        <w:trPr/>
        <w:tc>
          <w:tcPr>
            <w:tcW w:w="74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39,785,969 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551,211 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(467,555)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51,899 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pursuant to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losses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40,247,480 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557,428 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(482,003)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losses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40,743,806 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563,589 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(497,176)</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69,090 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4205e8a7a40245098d09967f5c05561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8948" w:type="dxa"/>
        <w:jc w:val="center"/>
        <w:tblInd w:w="0" w:type="dxa"/>
        <w:tblLayout w:type="fixed"/>
        <w:tblCellMar>
          <w:top w:w="28" w:type="dxa"/>
          <w:left w:w="28" w:type="dxa"/>
          <w:bottom w:w="28" w:type="dxa"/>
          <w:right w:w="28" w:type="dxa"/>
        </w:tblCellMar>
      </w:tblPr>
      <w:tblGrid>
        <w:gridCol w:w="2362"/>
        <w:gridCol w:w="2073"/>
        <w:gridCol w:w="2089"/>
        <w:gridCol w:w="196"/>
        <w:gridCol w:w="721"/>
        <w:gridCol w:w="109"/>
        <w:gridCol w:w="109"/>
        <w:gridCol w:w="109"/>
        <w:gridCol w:w="109"/>
        <w:gridCol w:w="196"/>
        <w:gridCol w:w="721"/>
        <w:gridCol w:w="154"/>
      </w:tblGrid>
      <w:tr>
        <w:trPr/>
        <w:tc>
          <w:tcPr>
            <w:tcW w:w="2362"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write-down (recovery),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extinguishment</w:t>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 and debt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PIK interest incurred but not paid on term loan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accretion of discounts on marketable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common stock warrant liability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changes in operating assets and liabilities: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Maturities of investments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 and internal software development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investing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debt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debt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credit agreement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discounts and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common stock options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under the employee stock purchase plan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cash equivalents, and restricted cash</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the period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the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of cash, cash equivalents, and restricted cash to consolidated balance sheets:</w:t>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4205e8a7a40245098d09967f5c055612_7">
        <w:r>
          <w:rPr>
            <w:rStyle w:val="InternetLink"/>
            <w:rFonts w:ascii="Times New Roman;serif" w:hAnsi="Times New Roman;serif"/>
            <w:b w:val="false"/>
            <w:color w:val="0000FF"/>
            <w:sz w:val="20"/>
            <w:u w:val="single"/>
          </w:rPr>
          <w:t>Table of Contents</w:t>
        </w:r>
      </w:hyperlink>
    </w:p>
    <w:tbl>
      <w:tblPr>
        <w:tblW w:w="8019" w:type="dxa"/>
        <w:jc w:val="center"/>
        <w:tblInd w:w="0" w:type="dxa"/>
        <w:tblLayout w:type="fixed"/>
        <w:tblCellMar>
          <w:top w:w="28" w:type="dxa"/>
          <w:left w:w="28" w:type="dxa"/>
          <w:bottom w:w="28" w:type="dxa"/>
          <w:right w:w="28" w:type="dxa"/>
        </w:tblCellMar>
      </w:tblPr>
      <w:tblGrid>
        <w:gridCol w:w="2084"/>
        <w:gridCol w:w="1825"/>
        <w:gridCol w:w="1836"/>
        <w:gridCol w:w="196"/>
        <w:gridCol w:w="646"/>
        <w:gridCol w:w="109"/>
        <w:gridCol w:w="109"/>
        <w:gridCol w:w="109"/>
        <w:gridCol w:w="109"/>
        <w:gridCol w:w="196"/>
        <w:gridCol w:w="646"/>
        <w:gridCol w:w="154"/>
      </w:tblGrid>
      <w:tr>
        <w:trPr/>
        <w:tc>
          <w:tcPr>
            <w:tcW w:w="2084"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in consolidated balance sheets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non-cash items: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warrants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 in accounts payable and accrued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20"/>
        <w:jc w:val="left"/>
        <w:rPr/>
      </w:pPr>
      <w:hyperlink w:anchor="i4205e8a7a40245098d09967f5c05561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Interim Condensed Consolidated Financial Statements (Unaudited)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    Formation and Business of the Company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Company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Pulmonx Corporation (the “Company”) was incorporated in the state of California in December 1995 as Pulmonx and reincorporated in the state of Delaware in December 2013. The Company is a commercial-stage medical technology company that provides a minimally invasive treatment for patients with severe emphysema, a form of chronic obstructive pulmonary disease (“COPD”). The Company’s solution, which is comprised of the Zephyr Endobronchial Valve (“Zephyr Valve”), the Chartis Pulmonary Assessment System (“Chartis System”) and the LungTraX Platform, is designed to treat a broad pool of patients for whom medical management has reached its limits and either do not want or are ineligible for surgical approaches. The Company has subsidiaries in Germany, Switzerland, Australia, the United Kingdom, Italy, France, Hong Kong and Japan.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Liquidity and Going Concern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incurred operating losses and negative cash flows from operations to date and has an accumulated deficit of $545.3 million as of June 30, 2026. During the six months ended June 30, 2026 and June 30, 2025, the Company used $15.3 million and $17.1 million of cash in its operating activities, respectively. As of June 30, 2026, the Company had cash and cash equivalents of $55.8 million. Historically, the Company’s activities have been financed through the sale of its products, the sale of equity securities, and debt financing arrangements.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unaudited interim condensed consolidated financial statements have been prepared on the basis of the Company continuing as a going concern for the next 12 months. Management believes that the Company’s existing cash and cash equivalents will allow the Company to continue its planned operations for at least the next 12 months from the date of the issuance of these 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unaudited interim condensed consolidated financial statements have been prepared in accordance with accounting principles generally accepted in the United States (“U.S. GAAP”). Any reference in these notes to applicable guidance is meant to refer to the authoritative U.S. GAAP as found in the Accounting Standards Codification (“ASC”) and Accounting Standards Updates (“ASU”) of the Financial Accounting Standards Board (“FASB”).</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unaudited interim condensed consolidated financial statements include the accounts of the Company and its wholly owned subsidiaries. All intercompany balances and transactions have been eliminated in consolidation.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Unaudited Interim Financial Information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balance sheet as of December 31, 2025 was derived from the Company’s audited financial statements, but does not include all disclosures required by U.S. GAAP. The accompanying unaudited interim condensed consolidated financial statements as of June 30, 2026 and for the three and six months ended June 30, 2026 and 2025, have been prepared by the Company, pursuant to the rules and regulations of the Securities and Exchange Commission (“SEC”), for interim financial statements. Certain information and footnote disclosures normally included in financial statements prepared in accordance with U.S. GAAP have been condensed or omitted pursuant to such rules and regulations. However, the Company believes that the disclosures are adequate to make the information presented not misleading. Accordingly, these financial statements should be read in conjunction with the audited financial statements as of and for the fiscal year ended December 31, 2025 and notes thereto, included in the Company’s Annual Report on Form 10-K for the fiscal year ended December 31, 2025 filed with the SEC on March 10, 2026. In the opinion of management, all adjustments, consisting only of normal recurring adjustments necessary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20"/>
        <w:jc w:val="left"/>
        <w:rPr/>
      </w:pPr>
      <w:hyperlink w:anchor="i4205e8a7a40245098d09967f5c05561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Interim Condensed Consolidated Financial Statements (Unaudited)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a fair statement of the Company’s condensed consolidated financial position as of June 30, 2026 and condensed consolidated results of operations for the three and six months ended June 30, 2026 and 2025 and condensed consolidated cash flows for the six months ended June 30, 2026 and 2025 have been made. The results of operations for the three and six months ended June 30, 2026 are not necessarily indicative of the results of operations that may be expected for the fiscal year ending December 31, 2026.</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preparation of unaudited interim condensed consolidated financial statements in conformity with U.S. GAAP requires management to make estimates and assumptions that affect the reported amounts of assets and liabilities and disclosure of contingent assets and liabilities at the date of the unaudited interim condensed consolidated financial statements and the reported amounts of revenues and expenses during the reporting periods. Although these estimates are based on the Company’s knowledge of current events and actions it may undertake in the future, actual results may ultimately materially differ from these estimates and assumptions.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Significant estimates and assumptions include reserves and write-downs related to inventories, classification of short-term and long-term inventories, the recoverability of long-term assets, stock-based compensation, goodwill, fair value of warrant liability, deferred tax assets and related valuation allowances and impact of contingencies.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carrying amounts of the Company’s financial instruments consisting of cash and cash equivalents, accounts receivable, accounts payable and accrued liabilities approximate fair value due to their relatively short maturities. Based on the borrowing rates currently available to the Company for debt with similar terms and consideration of default and credit risk, the carrying value of the term loan approximates its fair value. The fair value of marketable debt securities is estimated using Level 1 and Level 2 inputs, and the fair value of the warrant liability is estimated using Level 3 inputs (Note 4).</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Concentration of Credit Risk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concentrations of risk consist principally of cash, cash equivalents and accounts receivable. The Company maintains its cash and cash equivalents balances with established financial institutions and, at times, such balances with any one financial institution may be in excess of the Federal Deposit Insurance Corporation (“FDIC”) insured limits. As of June 30, 2026 and December 31, 2025, the Company also had cash on deposit with foreign banks of approximately $10.4 million and $13.4 million, respectively, that was not federally insured.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earns revenue primarily from the sale of its products to hospitals and other customers such as distributors. Sales of Zephyr Valves and delivery catheters accounted for most of the Company’s revenue for the six months ended June 30, 2026 and June 30, 2025. The Company’s accounts receivable are derived from revenue earned from customers. The Company performs ongoing credit evaluations of its customers’ financial condition and generally requires no collateral from its customers. For the three and six months ended June 30, 2026 and June 30, 2025, no customer accounted for more than 10% of revenue. As of June 30, 2026 and December 31, 2025, no customer accounted for more than 10% of accounts receivable.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relies on single source suppliers for the components, sub-assemblies and materials for its products. These components, sub-assemblies and materials are critical and there are no or relatively few alternative sources of supply. The Company’s suppliers have generally met the Company’s demand for their products and services on a timely basis in the past.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Foreign Currency Translation and Transaction Gains and Losses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functional currencies of the Company’s wholly owned subsidiaries in Switzerland, Germany, Australia, the United Kingdom, France and Hong Kong are the Swiss franc. The functional currency of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20"/>
        <w:jc w:val="left"/>
        <w:rPr/>
      </w:pPr>
      <w:hyperlink w:anchor="i4205e8a7a40245098d09967f5c05561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Interim Condensed Consolidated Financial Statements (Unaudited)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subsidiaries in Italy and Japan is the Euro and Yen, respectively. Accordingly, asset and liability accounts of Switzerland, France, Germany, Australia, the United Kingdom, Italy, Hong Kong and Japan operations are translated into U.S. dollars using the current exchange rate in effect at the balance sheet date and equity accounts are translated into U.S. dollars using historical rates. The revenues and expenses are translated using the average exchange rates in effect during the period, and gains and losses from foreign currency translation adjustments are included as a component of accumulated other comprehensive income in the condensed consolidated balance sheet. Foreign currency translation adjustments are recorded in other comprehensive (loss) income in the condensed consolidated statements of operations and comprehensive loss and were $(0.1) million and $0.4 million during the three months ended June 30, 2026 and June 30, 2025, respectively, and $(0.3) million and $0.5 million during the six months ended June 30, 2026 and June 30, 2025,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gains and losses are included in other (expense) income, net in the condensed consolidated statements of operations and comprehensive loss and were less than $(0.1) million and $(0.1) million during the three months ended June 30, 2026 and June 30, 2025, respectively, and $(0.2) million and less than $0.1 million during the six months ended June 30, 2026 and June 30, 2025, respectively.</w:t>
      </w:r>
    </w:p>
    <w:p>
      <w:pPr>
        <w:pStyle w:val="TextBody"/>
        <w:bidi w:val="0"/>
        <w:spacing w:lineRule="auto" w:line="288" w:before="0" w:after="240"/>
        <w:jc w:val="left"/>
        <w:rPr/>
      </w:pPr>
      <w:r>
        <w:rPr>
          <w:rFonts w:ascii="Times New Roman;serif" w:hAnsi="Times New Roman;serif"/>
          <w:b/>
          <w:i/>
          <w:color w:val="000000"/>
          <w:sz w:val="20"/>
        </w:rPr>
        <w:t>Credit Losses</w:t>
      </w:r>
      <w:r>
        <w:rPr>
          <w:color w:val="000000"/>
        </w:rPr>
        <w:t>—</w:t>
      </w:r>
      <w:r>
        <w:rPr>
          <w:rFonts w:ascii="Times New Roman;serif" w:hAnsi="Times New Roman;serif"/>
          <w:b/>
          <w:i/>
          <w:color w:val="000000"/>
          <w:sz w:val="20"/>
        </w:rPr>
        <w:t>Accounts Receivable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Accounts receivable are recorded at the amounts billed less estimated allowances for credit losses for any potential uncollectible amounts. The Company continually monitors customer payments and maintains an allowance for estimated losses resulting from a customer’s inability to make required payments. The Company considers factors such as historical experience, credit quality, age of the accounts receivable balances, geographic related risks and economic conditions that may affect a customer’s ability to pay. Accounts receivable are written-off and charged against an allowance for credit losses when the Company has exhausted collection efforts without success. As of June 30, 2026 and December 31, 2025, accounts receivable is presented net of an allowance for credit losses of less than $0.1 million and less than $0.1 million, respectively.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Common stock warrants</w:t>
      </w:r>
    </w:p>
    <w:p>
      <w:pPr>
        <w:pStyle w:val="TextBody"/>
        <w:bidi w:val="0"/>
        <w:spacing w:lineRule="auto" w:line="288" w:before="0" w:after="240"/>
        <w:jc w:val="left"/>
        <w:rPr/>
      </w:pPr>
      <w:r>
        <w:rPr>
          <w:rFonts w:ascii="Times New Roman;serif" w:hAnsi="Times New Roman;serif"/>
          <w:b w:val="false"/>
          <w:color w:val="000000"/>
          <w:sz w:val="20"/>
        </w:rPr>
        <w:t xml:space="preserve">The Company accounts for common stock warrants as either equity-classified or liability-classified instruments based on an assessment of the common stock warrant’s specific terms and applicable authoritative guidance included in ASC 480, </w:t>
      </w:r>
      <w:r>
        <w:rPr>
          <w:rFonts w:ascii="Times New Roman;serif" w:hAnsi="Times New Roman;serif"/>
          <w:b w:val="false"/>
          <w:i/>
          <w:color w:val="000000"/>
          <w:sz w:val="20"/>
        </w:rPr>
        <w:t>Distinguishing Liabilities from Equity</w:t>
      </w:r>
      <w:r>
        <w:rPr>
          <w:color w:val="000000"/>
        </w:rPr>
        <w:t xml:space="preserve"> </w:t>
      </w:r>
      <w:r>
        <w:rPr>
          <w:rFonts w:ascii="Times New Roman;serif" w:hAnsi="Times New Roman;serif"/>
          <w:b w:val="false"/>
          <w:color w:val="000000"/>
          <w:sz w:val="20"/>
        </w:rPr>
        <w:t xml:space="preserve">(“ASC 480”) and ASC 815, </w:t>
      </w:r>
      <w:r>
        <w:rPr>
          <w:rFonts w:ascii="Times New Roman;serif" w:hAnsi="Times New Roman;serif"/>
          <w:b w:val="false"/>
          <w:i/>
          <w:color w:val="000000"/>
          <w:sz w:val="20"/>
        </w:rPr>
        <w:t>Derivatives and Hedging</w:t>
      </w:r>
      <w:r>
        <w:rPr>
          <w:color w:val="000000"/>
        </w:rPr>
        <w:t xml:space="preserve"> </w:t>
      </w:r>
      <w:r>
        <w:rPr>
          <w:rFonts w:ascii="Times New Roman;serif" w:hAnsi="Times New Roman;serif"/>
          <w:b w:val="false"/>
          <w:color w:val="000000"/>
          <w:sz w:val="20"/>
        </w:rPr>
        <w:t>(“ASC 815”). The assessment considers whether the common stock warrants are freestanding financial instruments pursuant to ASC 480, whether the common stock warrants meet the definition of a liability pursuant to ASC 480, and whether the common stock warrants meet all of the requirements for equity classification under ASC 815. This assessment, which requires the use of professional judgment, is conducted at the time of common stock warrant issuance and as of each subsequent reporting date while the common stock warrants are outstanding.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common stock warrants that meet all of the criteria for equity classification are required to be recorded as a component of additional paid-in capital at the time of issuance, or when the conditions for equity classification are met, and are not remeasured. The common stock warrants that do not meet the required criteria for equity classification are classified as liabilities. The Company adjusts such common stock warrants to fair value at each reporting period until the common stock warrants are exercised or expire. Any change in fair value is recognized in other (expense) income, net in the Company’s condensed consolidated statements of operations and comprehensive loss.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Net Loss per Share Attributable to Common Stockholders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loss per common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assuming the dilutive effect of outstanding stock options, unvested restricted stock units, shares issuable related to the employee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20"/>
        <w:jc w:val="left"/>
        <w:rPr/>
      </w:pPr>
      <w:hyperlink w:anchor="i4205e8a7a40245098d09967f5c05561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Interim Condensed Consolidated Financial Statements (Unaudited)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stock purchase plan, and common stock warrants. Because the Company has reported a net loss for all periods presented, diluted net loss per common share is the same as basic net loss per common share for those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3.    Recent Accounting Pronouncements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0" w:after="240"/>
        <w:jc w:val="left"/>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which requires disclosure in the notes to the financial statements of specified information about certain costs and expenses. The amendments are effective for fiscal years beginning after December 15, 2026, and for interim periods within fiscal years beginning after December 15, 2027. Early adoption is permitted. The amendments should be applied either prospectively to financial statements issued for reporting periods after the effective date of this ASU, or retrospectively to any or all prior periods presented in the financial statements. The Company is currently evaluating the new guidance to determine the impact it may have on its consolidated financial statements and related disclosures.</w:t>
      </w:r>
    </w:p>
    <w:p>
      <w:pPr>
        <w:pStyle w:val="TextBody"/>
        <w:bidi w:val="0"/>
        <w:spacing w:lineRule="auto" w:line="288" w:before="0" w:after="240"/>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rFonts w:ascii="Times New Roman;serif" w:hAnsi="Times New Roman;serif"/>
          <w:b w:val="false"/>
          <w:color w:val="000000"/>
          <w:sz w:val="20"/>
        </w:rPr>
        <w:t>, to modernize the accounting for software costs that are accounted for under Subtopic 350-40. ASU 2025-06 removes all references to prescriptive and sequential software development stages throughout Subtopic 350-40. Therefore, an entity is required to start capitalizing software costs when both of the following occur: 1) Management has authorized and committed to funding the software project and 2) It is probable that the project will be completed and the software will be used to perform the function intended. The amendments in ASU 2025-06 are effective for fiscal years beginning after December 15, 2027. Early adoption is permitted. The Company is currently evaluating the new guidance to determine the impact it may have on its consolidated financial statements and related disclosures.</w:t>
      </w:r>
    </w:p>
    <w:p>
      <w:pPr>
        <w:pStyle w:val="TextBody"/>
        <w:bidi w:val="0"/>
        <w:spacing w:lineRule="auto" w:line="288" w:before="0" w:after="240"/>
        <w:jc w:val="left"/>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This ASU clarifies and improves existing interim reporting guidance by consolidating disclosure requirements within Topic 270 and introducing a disclosure principle requiring entities to disclose events and changes occurring after the most recent annual reporting period that are expected to have a material effect on the entity’s financial condition or results of operations. The ASU does not introduce significant changes to recognition or measurement guidance. This ASU is effective for interim reporting periods within annual reporting periods beginning after December 15, 2027, with early adoption permitted. The Company is currently evaluating the impact the adoption of this ASU will have on its consolidated financial statements’ disclosures.</w:t>
      </w:r>
    </w:p>
    <w:p>
      <w:pPr>
        <w:pStyle w:val="TextBody"/>
        <w:bidi w:val="0"/>
        <w:spacing w:lineRule="auto" w:line="288" w:before="0" w:after="240"/>
        <w:jc w:val="left"/>
        <w:rPr/>
      </w:pPr>
      <w:r>
        <w:rPr>
          <w:rFonts w:ascii="Times New Roman;serif" w:hAnsi="Times New Roman;serif"/>
          <w:b w:val="false"/>
          <w:color w:val="000000"/>
          <w:sz w:val="20"/>
        </w:rPr>
        <w:t xml:space="preserve">In December 2025, the FASB issued ASU 2025-12, </w:t>
      </w:r>
      <w:r>
        <w:rPr>
          <w:rFonts w:ascii="Times New Roman;serif" w:hAnsi="Times New Roman;serif"/>
          <w:b w:val="false"/>
          <w:i/>
          <w:color w:val="000000"/>
          <w:sz w:val="20"/>
        </w:rPr>
        <w:t>Codification Improvements</w:t>
      </w:r>
      <w:r>
        <w:rPr>
          <w:rFonts w:ascii="Times New Roman;serif" w:hAnsi="Times New Roman;serif"/>
          <w:b w:val="false"/>
          <w:color w:val="000000"/>
          <w:sz w:val="20"/>
        </w:rPr>
        <w:t>. This ASU addresses suggestions received from stakeholders regarding the ASC and makes other incremental improvements to GAAP. The update represents changes to the ASC that clarify, correct errors in or make other improvements to a variety of topics that are intended to make it easier to understand and apply. This ASU is effective for fiscal years beginning after December 15, 2026 and interim periods within those fiscal years. Entities are required to apply the amendments to ASC 260 retrospectively. All other amendments may be applied prospectively or retrospectively. The Company is currently evaluating the impact the adoption of this ASU will have on its consolidated financial statements and related disclosures.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All other newly issued accounting pronouncements not yet effective have been deemed either immaterial or 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Assets and liabilities recorded at fair value in the consolidated financial statements are categorized based upon the level of judgment associated with the inputs used to measure their fair value. Hierarchical levels which are directly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20"/>
        <w:jc w:val="left"/>
        <w:rPr/>
      </w:pPr>
      <w:hyperlink w:anchor="i4205e8a7a40245098d09967f5c05561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Interim Condensed Consolidated Financial Statements (Unaudited)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related to the amount of subjectivity associated with the inputs to the valuation of these assets or liabilities are as follows: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Level 1—Inputs are unadjusted quoted prices in active markets for identical assets or liabilities that the Company has the ability to access as of the measurement date.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Level 3—Unobservable inputs for the asset or liability only used when there is little, if any, market activity for the asset or liability at the measurement date. This hierarchy requires the Company to use observable market data, when available, and to minimize the use of unobservable inputs when determining fair value.</w:t>
      </w:r>
    </w:p>
    <w:p>
      <w:pPr>
        <w:pStyle w:val="TextBody"/>
        <w:bidi w:val="0"/>
        <w:spacing w:lineRule="auto" w:line="288" w:before="0" w:after="240"/>
        <w:jc w:val="left"/>
        <w:rPr/>
      </w:pPr>
      <w:r>
        <w:rPr>
          <w:rFonts w:ascii="Times New Roman;serif" w:hAnsi="Times New Roman;serif"/>
          <w:b w:val="false"/>
          <w:i/>
          <w:color w:val="000000"/>
          <w:sz w:val="20"/>
        </w:rPr>
        <w:t>Assets and Liabilities Measured and Recorded at Fair Value on a Recurring Basis</w:t>
      </w:r>
      <w:r>
        <w:rPr>
          <w:color w:val="000000"/>
        </w:rPr>
        <w:t>—</w:t>
      </w:r>
      <w:r>
        <w:rPr>
          <w:rFonts w:ascii="Times New Roman;serif" w:hAnsi="Times New Roman;serif"/>
          <w:b w:val="false"/>
          <w:color w:val="000000"/>
          <w:sz w:val="20"/>
        </w:rPr>
        <w:t>Financial assets and liabilities held by the Company measured at fair value on a recurring basis include money market funds and marketable securities.</w:t>
      </w:r>
    </w:p>
    <w:p>
      <w:pPr>
        <w:pStyle w:val="TextBody"/>
        <w:bidi w:val="0"/>
        <w:spacing w:lineRule="auto" w:line="288" w:before="0" w:after="240"/>
        <w:jc w:val="left"/>
        <w:rPr/>
      </w:pPr>
      <w:r>
        <w:rPr>
          <w:rFonts w:ascii="Times New Roman;serif" w:hAnsi="Times New Roman;serif"/>
          <w:b w:val="false"/>
          <w:i/>
          <w:color w:val="000000"/>
          <w:sz w:val="20"/>
        </w:rPr>
        <w:t>Assets and Liabilities Measured and Recorded at Fair Value on a Nonrecurring Basis</w:t>
      </w:r>
      <w:r>
        <w:rPr>
          <w:color w:val="000000"/>
        </w:rPr>
        <w:t>—</w:t>
      </w:r>
      <w:r>
        <w:rPr>
          <w:rFonts w:ascii="Times New Roman;serif" w:hAnsi="Times New Roman;serif"/>
          <w:b w:val="false"/>
          <w:color w:val="000000"/>
          <w:sz w:val="20"/>
        </w:rPr>
        <w:t>The Company determines the fair value of long-lived assets held and used by reference to independent appraisals, quoted market prices (e.g., an offer to purchase) and other factors. An impairment charge is recorded when the carrying value of the asset exceeds its fair value. There have been no impairment charges recorded to date. Based on the borrowing rates currently available to the Company for debt with similar terms and consideration of default and credit risk, the carrying value of the term loan approximates the fair value. The fair value of the term loan is estimated using Level 2 inputs.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types of assets and liabilities measured at fair value on a recurring basis by level within the fair value hierarchy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20"/>
        <w:jc w:val="left"/>
        <w:rPr/>
      </w:pPr>
      <w:hyperlink w:anchor="i4205e8a7a40245098d09967f5c05561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Interim Condensed Consolidated Financial Statements (Unaudited)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tbl>
      <w:tblPr>
        <w:tblW w:w="6810" w:type="dxa"/>
        <w:jc w:val="left"/>
        <w:tblInd w:w="0" w:type="dxa"/>
        <w:tblLayout w:type="fixed"/>
        <w:tblCellMar>
          <w:top w:w="28" w:type="dxa"/>
          <w:left w:w="28" w:type="dxa"/>
          <w:bottom w:w="28" w:type="dxa"/>
          <w:right w:w="28" w:type="dxa"/>
        </w:tblCellMar>
      </w:tblPr>
      <w:tblGrid>
        <w:gridCol w:w="975"/>
        <w:gridCol w:w="859"/>
        <w:gridCol w:w="866"/>
        <w:gridCol w:w="211"/>
        <w:gridCol w:w="466"/>
        <w:gridCol w:w="109"/>
        <w:gridCol w:w="109"/>
        <w:gridCol w:w="109"/>
        <w:gridCol w:w="109"/>
        <w:gridCol w:w="211"/>
        <w:gridCol w:w="406"/>
        <w:gridCol w:w="109"/>
        <w:gridCol w:w="109"/>
        <w:gridCol w:w="109"/>
        <w:gridCol w:w="109"/>
        <w:gridCol w:w="211"/>
        <w:gridCol w:w="466"/>
        <w:gridCol w:w="109"/>
        <w:gridCol w:w="109"/>
        <w:gridCol w:w="109"/>
        <w:gridCol w:w="109"/>
        <w:gridCol w:w="211"/>
        <w:gridCol w:w="466"/>
        <w:gridCol w:w="154"/>
      </w:tblGrid>
      <w:tr>
        <w:trPr/>
        <w:tc>
          <w:tcPr>
            <w:tcW w:w="97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299" w:type="dxa"/>
        <w:jc w:val="left"/>
        <w:tblInd w:w="0" w:type="dxa"/>
        <w:tblLayout w:type="fixed"/>
        <w:tblCellMar>
          <w:top w:w="28" w:type="dxa"/>
          <w:left w:w="28" w:type="dxa"/>
          <w:bottom w:w="28" w:type="dxa"/>
          <w:right w:w="28" w:type="dxa"/>
        </w:tblCellMar>
      </w:tblPr>
      <w:tblGrid>
        <w:gridCol w:w="704"/>
        <w:gridCol w:w="620"/>
        <w:gridCol w:w="625"/>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54"/>
      </w:tblGrid>
      <w:tr>
        <w:trPr/>
        <w:tc>
          <w:tcPr>
            <w:tcW w:w="70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were no liabilities measured at fair value on a recurring and non-recurring basis as of December 31,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did not hold any marketable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values the common stock warrant liability using the probability-weighted Black-Scholes Merton option-pricing model using unobservable inputs including the expected term, expected volatility, risk-free interest rate, dividend yield and probability of Additional Loan Draws occurring (see Notes 6 and 7). The common stock warrant liability was valued using the following assumptions:</w:t>
      </w:r>
    </w:p>
    <w:tbl>
      <w:tblPr>
        <w:tblW w:w="5289" w:type="dxa"/>
        <w:jc w:val="left"/>
        <w:tblInd w:w="0" w:type="dxa"/>
        <w:tblLayout w:type="fixed"/>
        <w:tblCellMar>
          <w:top w:w="28" w:type="dxa"/>
          <w:left w:w="28" w:type="dxa"/>
          <w:bottom w:w="28" w:type="dxa"/>
          <w:right w:w="28" w:type="dxa"/>
        </w:tblCellMar>
      </w:tblPr>
      <w:tblGrid>
        <w:gridCol w:w="1291"/>
        <w:gridCol w:w="1132"/>
        <w:gridCol w:w="1146"/>
        <w:gridCol w:w="208"/>
        <w:gridCol w:w="208"/>
        <w:gridCol w:w="213"/>
        <w:gridCol w:w="109"/>
        <w:gridCol w:w="109"/>
        <w:gridCol w:w="109"/>
        <w:gridCol w:w="223"/>
        <w:gridCol w:w="223"/>
        <w:gridCol w:w="318"/>
      </w:tblGrid>
      <w:tr>
        <w:trPr/>
        <w:tc>
          <w:tcPr>
            <w:tcW w:w="1291"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expected term (in years)</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83.6%</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probability assessment considers both the likelihood of the Company satisfying certain conditions, including specified revenue milestones, which give the Company the option to draw future debt tranches, as well as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20"/>
        <w:jc w:val="left"/>
        <w:rPr/>
      </w:pPr>
      <w:hyperlink w:anchor="i4205e8a7a40245098d09967f5c05561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Interim Condensed Consolidated Financial Statements (Unaudited)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likelihood that the Company will exercise the right to draw one or more future debt tranches. The probability was not a material input to the value of the common stock warrant liability.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change in fair value of the common stock warrant liability is summarized below (in thousands):</w:t>
      </w:r>
    </w:p>
    <w:tbl>
      <w:tblPr>
        <w:tblW w:w="6806" w:type="dxa"/>
        <w:jc w:val="left"/>
        <w:tblInd w:w="0" w:type="dxa"/>
        <w:tblLayout w:type="fixed"/>
        <w:tblCellMar>
          <w:top w:w="28" w:type="dxa"/>
          <w:left w:w="28" w:type="dxa"/>
          <w:bottom w:w="28" w:type="dxa"/>
          <w:right w:w="28" w:type="dxa"/>
        </w:tblCellMar>
      </w:tblPr>
      <w:tblGrid>
        <w:gridCol w:w="1819"/>
        <w:gridCol w:w="1598"/>
        <w:gridCol w:w="1608"/>
        <w:gridCol w:w="109"/>
        <w:gridCol w:w="109"/>
        <w:gridCol w:w="109"/>
        <w:gridCol w:w="369"/>
        <w:gridCol w:w="816"/>
        <w:gridCol w:w="269"/>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Warrant Liability</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included in 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5.    Balance Sheet Components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cash and cash equivalents consist of the following (in thousands):</w:t>
      </w:r>
    </w:p>
    <w:tbl>
      <w:tblPr>
        <w:tblW w:w="5206" w:type="dxa"/>
        <w:jc w:val="left"/>
        <w:tblInd w:w="0" w:type="dxa"/>
        <w:tblLayout w:type="fixed"/>
        <w:tblCellMar>
          <w:top w:w="28" w:type="dxa"/>
          <w:left w:w="28" w:type="dxa"/>
          <w:bottom w:w="28" w:type="dxa"/>
          <w:right w:w="28" w:type="dxa"/>
        </w:tblCellMar>
      </w:tblPr>
      <w:tblGrid>
        <w:gridCol w:w="975"/>
        <w:gridCol w:w="855"/>
        <w:gridCol w:w="869"/>
        <w:gridCol w:w="211"/>
        <w:gridCol w:w="721"/>
        <w:gridCol w:w="109"/>
        <w:gridCol w:w="109"/>
        <w:gridCol w:w="109"/>
        <w:gridCol w:w="109"/>
        <w:gridCol w:w="221"/>
        <w:gridCol w:w="757"/>
        <w:gridCol w:w="161"/>
      </w:tblGrid>
      <w:tr>
        <w:trPr/>
        <w:tc>
          <w:tcPr>
            <w:tcW w:w="97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69,751 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Inventory consists of the following (in thousands):</w:t>
      </w:r>
    </w:p>
    <w:tbl>
      <w:tblPr>
        <w:tblW w:w="4322" w:type="dxa"/>
        <w:jc w:val="left"/>
        <w:tblInd w:w="0" w:type="dxa"/>
        <w:tblLayout w:type="fixed"/>
        <w:tblCellMar>
          <w:top w:w="28" w:type="dxa"/>
          <w:left w:w="28" w:type="dxa"/>
          <w:bottom w:w="28" w:type="dxa"/>
          <w:right w:w="28" w:type="dxa"/>
        </w:tblCellMar>
      </w:tblPr>
      <w:tblGrid>
        <w:gridCol w:w="657"/>
        <w:gridCol w:w="577"/>
        <w:gridCol w:w="581"/>
        <w:gridCol w:w="211"/>
        <w:gridCol w:w="721"/>
        <w:gridCol w:w="109"/>
        <w:gridCol w:w="109"/>
        <w:gridCol w:w="109"/>
        <w:gridCol w:w="109"/>
        <w:gridCol w:w="221"/>
        <w:gridCol w:w="757"/>
        <w:gridCol w:w="161"/>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Reported as: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20"/>
        <w:jc w:val="left"/>
        <w:rPr/>
      </w:pPr>
      <w:hyperlink w:anchor="i4205e8a7a40245098d09967f5c05561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Interim Condensed Consolidated Financial Statements (Unaudited)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 of the following (in thousands):</w:t>
      </w:r>
    </w:p>
    <w:tbl>
      <w:tblPr>
        <w:tblW w:w="6332" w:type="dxa"/>
        <w:jc w:val="left"/>
        <w:tblInd w:w="0" w:type="dxa"/>
        <w:tblLayout w:type="fixed"/>
        <w:tblCellMar>
          <w:top w:w="28" w:type="dxa"/>
          <w:left w:w="28" w:type="dxa"/>
          <w:bottom w:w="28" w:type="dxa"/>
          <w:right w:w="28" w:type="dxa"/>
        </w:tblCellMar>
      </w:tblPr>
      <w:tblGrid>
        <w:gridCol w:w="1424"/>
        <w:gridCol w:w="1247"/>
        <w:gridCol w:w="1258"/>
        <w:gridCol w:w="211"/>
        <w:gridCol w:w="616"/>
        <w:gridCol w:w="109"/>
        <w:gridCol w:w="109"/>
        <w:gridCol w:w="109"/>
        <w:gridCol w:w="109"/>
        <w:gridCol w:w="245"/>
        <w:gridCol w:w="716"/>
        <w:gridCol w:w="179"/>
      </w:tblGrid>
      <w:tr>
        <w:trPr/>
        <w:tc>
          <w:tcPr>
            <w:tcW w:w="1424"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VAT and other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Capitalized Implementation Costs of a Hosting Arrangement</w:t>
      </w:r>
    </w:p>
    <w:p>
      <w:pPr>
        <w:pStyle w:val="TextBody"/>
        <w:bidi w:val="0"/>
        <w:spacing w:lineRule="auto" w:line="288" w:before="0" w:after="240"/>
        <w:jc w:val="left"/>
        <w:rPr/>
      </w:pPr>
      <w:r>
        <w:rPr>
          <w:rFonts w:ascii="Times New Roman;serif" w:hAnsi="Times New Roman;serif"/>
          <w:b w:val="false"/>
          <w:color w:val="000000"/>
          <w:sz w:val="20"/>
        </w:rPr>
        <w:t xml:space="preserve">The Company has several software systems that are cloud-based hosting arrangements with service contracts. The Company accounts for costs incurred in connection with the implementation of these various software systems under ASU 2018-15, </w:t>
      </w:r>
      <w:r>
        <w:rPr>
          <w:rFonts w:ascii="Times New Roman;serif" w:hAnsi="Times New Roman;serif"/>
          <w:b w:val="false"/>
          <w:i/>
          <w:color w:val="000000"/>
          <w:sz w:val="20"/>
        </w:rPr>
        <w:t>Intangibles—Goodwill and Other—Internal Use Software (Subtopic 350–40): Customer’s Accounting for Implementation Costs Incurred in a Cloud Computing Arrangement That is a Service Contract</w:t>
      </w:r>
      <w:r>
        <w:rPr>
          <w:rFonts w:ascii="Times New Roman;serif" w:hAnsi="Times New Roman;serif"/>
          <w:b w:val="false"/>
          <w:color w:val="000000"/>
          <w:sz w:val="20"/>
        </w:rPr>
        <w:t>. The Company expenses all costs (internal and external) that are incurred in the planning and post-implementation operation stages. As of June 30, 2026 and December 31, 2025, the Company has capitalized $0.8 million and $0.9 million in implementation costs, net of amortization, respectively. The capitalized costs are amortized on a straight-line basis over the non-cancelable contract terms, which are generally three to five years. As of June 30, 2026, the capitalized costs of $0.2 million and $0.6 million were included in prepaid expenses and other current assets, and other long-term assets, respectively. Amortization expense, which was included in selling, general and administrative expenses, was $0.1 million and less than $0.1 million for the three months ended June 30, 2026 and June 30, 2025, respectively, and $0.1 million and less than $0.1 million for the six months ended June 30, 2026 and June 30, 2025, respectively.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 of the following (in thousands):</w:t>
      </w:r>
    </w:p>
    <w:tbl>
      <w:tblPr>
        <w:tblW w:w="5313" w:type="dxa"/>
        <w:jc w:val="left"/>
        <w:tblInd w:w="0" w:type="dxa"/>
        <w:tblLayout w:type="fixed"/>
        <w:tblCellMar>
          <w:top w:w="28" w:type="dxa"/>
          <w:left w:w="28" w:type="dxa"/>
          <w:bottom w:w="28" w:type="dxa"/>
          <w:right w:w="28" w:type="dxa"/>
        </w:tblCellMar>
      </w:tblPr>
      <w:tblGrid>
        <w:gridCol w:w="1053"/>
        <w:gridCol w:w="925"/>
        <w:gridCol w:w="932"/>
        <w:gridCol w:w="211"/>
        <w:gridCol w:w="616"/>
        <w:gridCol w:w="109"/>
        <w:gridCol w:w="109"/>
        <w:gridCol w:w="109"/>
        <w:gridCol w:w="109"/>
        <w:gridCol w:w="245"/>
        <w:gridCol w:w="716"/>
        <w:gridCol w:w="179"/>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Depreciation expense was $0.2 million and $0.3 million for the three months ended June 30, 2026 and June 30, 2025, respectively. Depreciation expense was $0.4 million and $0.6 million for the six months ended June 30, 2026 and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20"/>
        <w:jc w:val="left"/>
        <w:rPr/>
      </w:pPr>
      <w:hyperlink w:anchor="i4205e8a7a40245098d09967f5c05561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Interim Condensed Consolidated Financial Statements (Unaudited)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Goodwill was $2.3 million as of June 30, 2026 and December 31, 2025. There were no acquisitions or dispositions of goodwill in the six months ended June 30, 2026 and June 30, 2025. The Company assesses goodwill for impairment annually, or more frequently, when events or changes in circumstances indicate there may be impairment. Through June 30, 2026, there have been no events or changes in circumstances that indicated that the carrying value of goodwill may not be recoverable. As a result, no impairment charge was recorded during the six months ended June 30, 2026.</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Accrued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Accrued liabilities consist of the following (in thousands):</w:t>
      </w:r>
    </w:p>
    <w:tbl>
      <w:tblPr>
        <w:tblW w:w="6287" w:type="dxa"/>
        <w:jc w:val="left"/>
        <w:tblInd w:w="0" w:type="dxa"/>
        <w:tblLayout w:type="fixed"/>
        <w:tblCellMar>
          <w:top w:w="28" w:type="dxa"/>
          <w:left w:w="28" w:type="dxa"/>
          <w:bottom w:w="28" w:type="dxa"/>
          <w:right w:w="28" w:type="dxa"/>
        </w:tblCellMar>
      </w:tblPr>
      <w:tblGrid>
        <w:gridCol w:w="1369"/>
        <w:gridCol w:w="1204"/>
        <w:gridCol w:w="1207"/>
        <w:gridCol w:w="211"/>
        <w:gridCol w:w="721"/>
        <w:gridCol w:w="109"/>
        <w:gridCol w:w="109"/>
        <w:gridCol w:w="109"/>
        <w:gridCol w:w="109"/>
        <w:gridCol w:w="221"/>
        <w:gridCol w:w="757"/>
        <w:gridCol w:w="161"/>
      </w:tblGrid>
      <w:tr>
        <w:trPr/>
        <w:tc>
          <w:tcPr>
            <w:tcW w:w="136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bonuses and commissions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vacation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personnel related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taxes, franchise tax and VAT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6.    Long Term Debt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CIBC Loan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February 2020, the Company executed a Loan and Security Agreement with Canadian Imperial Bank of Commerce (“CIBC”), which the Company subsequently amended in April 2020 and December 2020 (as amended, the “CIBC Agreement”). The CIBC Agreement originally provided the Company with the ability to borrow up to $32.0 million in debt financing (“CIBC Loan”) consisting of $17.0 million advanced at the closing of the agreement (“Tranche A”), with the option to draw up to an additional $8.0 million (“Tranche B”) and an additional financing tranche (“Tranche C”) of up to $7.0 million on or prior to February 20, 2022. Neither Tranche B nor Tranche C was drawn before the option expired.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March 2021, the Company entered into an Amended and Restated Loan and Security Agreement with CIBC (as amended, the “Amended and Restated CIBC Agreement”) which, among other things, extended the loan maturity date of the CIBC Loan from March 15, 2022 to February 20, 2025, and modified certain financial covenants.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October 2021, the Company entered into a Second Amendment to the Amended and Restated CIBC Agreement, which extended the interest only period of the loan from 24 months to 36 months and provided for principal repayment to begin in February 2023.</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October 2022, the Company entered into a Third Amendment to the Amended and Restated CIBC Agreement (the “Third Amendment”) with CIBC, which, among other things, extended the maturity date of the CIBC Loan to October 31, 2027; provided a commitment for a new $20.0 million tranche of term loans that may be drawn at the Company’s option through October 31, 2023, subject to the satisfaction of certain conditions; and provided for a new interest only period of 24 months from the signing date of the Third Amendment, with the possibility of an additional extension of such interest only period of up to 12 months, subject to satisfaction of certain conditions.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February 2023, the Company drew $20.0 million of the Amended Tranche 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20"/>
        <w:jc w:val="left"/>
        <w:rPr/>
      </w:pPr>
      <w:hyperlink w:anchor="i4205e8a7a40245098d09967f5c05561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Interim Condensed Consolidated Financial Statements (Unaudited)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May 2024, as a result of satisfying certain conditions set forth in the Third Amendment, the Company extended the interest-only period of the CIBC Loan from 24 months to 36 months. There was no change to the loan interest rate, maturity date, or other terms of the loan.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April 2025, the Company further amended the terms of the CIBC Loan (the “Fifth Amendment”) to extend the interest-only period through maturity, with full principal repayment due in October 2027. There was no change to the interest rate or the maturity date of the loan. The Fifth Amendment was accounted for as a debt modification. The Fifth Amendment contained a financial covenant requiring that, when cash and cash equivalents of the Company is less than $80.0 million, revenue for the trailing twelve-month period be at least 10.0% greater than the amount of revenue for the corresponding trailing twelve-month period in the prior year. Further, the Company was required to maintain unrestricted cash in an aggregate amount equal to the greater of $20.0 million and the absolute value of Adjusted EBITDA loss as defined in the Amended and Restated CIBC Agreement for the six-month period ending on any date of determination.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January 2026, the Company further amended the terms of the CIBC Loan to 1) modify the Company’s obligations regarding cash such that the Company was required to maintain cash in an aggregate amount equal to or greater than (i) 1.25 multiplied by (ii) the then outstanding principal balance of the CIBC Loan and 2) require regular updates to CIBC on its efforts to refinance the CIBC Loan. In addition, CIBC agreed not to test one of the financial covenants as of December 31, 2025. The Company paid to CIBC an amendment fee of less than $0.1 million. As of December 31, 2025, the Company was in compliance with all other covenants contained in the Amended and Restated CIBC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CIBC Loan had an annual effective interest rate of 8.2% per year.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CIBC Loan consisted of the following (in thousands):</w:t>
      </w:r>
    </w:p>
    <w:tbl>
      <w:tblPr>
        <w:tblW w:w="3595" w:type="dxa"/>
        <w:jc w:val="left"/>
        <w:tblInd w:w="0" w:type="dxa"/>
        <w:tblLayout w:type="fixed"/>
        <w:tblCellMar>
          <w:top w:w="28" w:type="dxa"/>
          <w:left w:w="28" w:type="dxa"/>
          <w:bottom w:w="28" w:type="dxa"/>
          <w:right w:w="28" w:type="dxa"/>
        </w:tblCellMar>
      </w:tblPr>
      <w:tblGrid>
        <w:gridCol w:w="769"/>
        <w:gridCol w:w="674"/>
        <w:gridCol w:w="686"/>
        <w:gridCol w:w="109"/>
        <w:gridCol w:w="109"/>
        <w:gridCol w:w="109"/>
        <w:gridCol w:w="221"/>
        <w:gridCol w:w="757"/>
        <w:gridCol w:w="161"/>
      </w:tblGrid>
      <w:tr>
        <w:trPr/>
        <w:tc>
          <w:tcPr>
            <w:tcW w:w="76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Reported 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paid $0.5 million fees to the lender and third parties which was reflected as a discount on the CIBC Loan and was being accreted over the life of the term loan using the effective interest method.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June 30, 2025, the Company recorded interest expense related to debt discount and debt issuance costs of the CIBC Loan of $0 and less than $0.1 million, respectively. During the six months ended June 30, 2026 and June 30, 2025, the Company recorded interest expense related to debt discount and debt issuance costs of the CIBC Loan of less than $0.1 million and less than $0.1 million,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expense on the CIBC Loan was $0 and $0.8 million during the three months ended June 30, 2026 and June 30, 2025, respectively. Interest expense on the CIBC Loan was $0.5 million and $1.6 million during the six months ended June 30, 2026 and June 30, 2025,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2026, the Company repaid its entire obligation under the CIBC Loan amounting to $37.2 million, including principal of $37.0 million and interest of $0.2 million, using the proceeds from the Perceptive Loan (as defined below). The repayment of the obligation under the CIBC Loan was accounted for as a debt extinguishment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20"/>
        <w:jc w:val="left"/>
        <w:rPr/>
      </w:pPr>
      <w:hyperlink w:anchor="i4205e8a7a40245098d09967f5c05561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Interim Condensed Consolidated Financial Statements (Unaudited)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and the Company recorded a loss on extinguishment of $0.1 million included in interest expense on the condensed consolidated statements of operations and comprehensive loss.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Perceptive Loan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March 2, 2026 (the “Closing Date”), the Company entered into a Credit Agreement and Guaranty (the “Perceptive Agreement”) and a Security Agreement (the “Security Agreement”), with Perceptive Credit Holdings V, LP (“Perceptive”), as the initial lender, administrative agent and collateral agent. The Perceptive Agreement provides for a senior secured term loan facility in an aggregate principal amount of up to $60.0 million (the “Loan Facility”).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the Closing Date, the Company borrowed an initial loan under the Perceptive Agreement in an aggregate principal amount of $40.0 million (the “Perceptive Loan”). The Loan Facility permits the Company to borrow up to an additional $20.0 million, in two additional equal tranches (the “Additional Loan Draws”). The first $10.0 million Additional Loan Draw becomes available if the Company reaches at least $92.5 million in revenue for any trailing twelve-month period ending as of the end of the last day of any fiscal quarter through, and including, the fiscal quarter ending September 30, 2027, and the second $10.0 million Additional Loan Draw becomes available if the Company reaches at least $100.0 million in revenue for any trailing twelve-month period ending as of the end of the last day of any fiscal quarter through, and including, the fiscal quarter ending December 31, 2027.</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Loan Facility has a maturity date of March 2, 2031 (the “Maturity Date”). The Loan Facility accrues interest, payable monthly in arrears, at an annual rate equal to the sum of (a) an applicable margin of 7.00% (the “Applicable Margin”) plus (b) the greater of (i) one-month term SOFR and (ii) 3.75%. Upon the occurrence and during the continuance of an event of default under the Perceptive Agreement, the Applicable Margin will increase by an additional 3.00% per annum at Perceptive’s election (retroactive to the date of such event of default), or automatically in the case of a payment or bankruptcy event of default.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each interest payment date occurring on or prior to March 2, 2029, the Company has the option to pay interest as follows: 2.0% per annum paid-in-kind (“PIK”) by increasing the principal of the Perceptive Loan and the remaining interest payable paid in cash. For each payment date through June 30, 2026, the Company elected the PIK option, increasing the principal of the Perceptive Loan by $0.3 million.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Prior to the Maturity Date, there will be no scheduled principal payments under the Loan Facility. On the Maturity Date, the Company is required to pay Perceptive the aggregate outstanding principal amount of the loans thereunder and all accrued and unpaid interest thereon. The loans under the Loan Facility may be prepaid at any time, subject to a prepayment premium ranging from 2% to 10% if such prepayment occurs on or prior to the fourth anniversary of the Closing Date. On each date when any outstanding principal under the Loan Facility is repaid or required to be repaid, the Company will be required to pay an exit fee equal to 1.50% of such principal amount.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obligations under the Perceptive Agreement are guaranteed by Pulmonx International Sàrl, the Company’s wholly-owned Swiss subsidiary, and will be guaranteed by all subsidiaries of the Company organized in the United States or Switzerland, and any other material subsidiaries. The Loan Facility is collateralized by substantially all of the Company’s and subsidiary guarantors’ assets, subject to customary exceptions. The Perceptive Agreement contains certain representations and warranties, affirmative covenants, negative covenants, and events of default that are customarily required for similar financings. In addition, the Perceptive Agreement contains financial covenants requiring the Company to (i) at all times prior to the Maturity Date, maintain minimum unrestricted cash and certain types of marketable securities of at least $4.0 million and (ii) maintain minimum annual trailing consolidated revenue of the Company and its subsidiaries determined in accordance with U.S. GAAP, tested on a quarterly basis, starting from $85.0 million over a trailing 12-month period ending March 31, 2026, and increasing to $107.5 million for the trailing 12-month period ending December 31, 2030. The occurrence of an event of default under the Perceptive Agreement could result in, among other things, the declaration that all outstanding principal and interest thereunder are immediately due and payable in whole or in part. As of June 30, 2026, the Company was in compliance with the covenants contained in the Perceptive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20"/>
        <w:jc w:val="left"/>
        <w:rPr/>
      </w:pPr>
      <w:hyperlink w:anchor="i4205e8a7a40245098d09967f5c05561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Interim Condensed Consolidated Financial Statements (Unaudited)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paid $1.6 million in fees to Perceptive and third parties which is reflected as a discount on the Perceptive Loan and is being accreted over the life of the loan using the effective interest method. Also, on the Closing Date, the Company issued to Perceptive a warrant to purchase up to 1,000,000 shares of the Company’s common stock (the “Initial Warrants”), and will issue warrants to purchase up to 500,000 shares of the Company’s common stock (which number of shares will be adjusted for any stock splits, stock combinations and the like that take place after the Closing Date and prior to the applicable funding date) if the Company borrows additional tranches of loan under the Perceptive Agreement (the “Additional Warrants” and together with the “Initial Warrants”, the “Warrants”, see Note 7 and 11, respectively). The Initial Warrants are classified as a component of permanent equity and the Additional Warrants classified as liabilities on the Company's condensed consolidated balance sheets. The Warrants had a fair value of $1.4 million as of the issuance date, which was accounted for as debt discount. The Warrants, regardless of issuance date, have an expiration date of March 2, 2033, may be exercised on a cashless or “net” basis, and will be automatically exercised, on a cashless basis, prior to their expiration if the value of the shares underlying the Warrants is greater than the then-applicable exercise price.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the Perceptive Loan had an annual effective interest rate of 13.9% per year.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Perceptive Loan consisted of the following (in thousands):</w:t>
      </w:r>
    </w:p>
    <w:tbl>
      <w:tblPr>
        <w:tblW w:w="3542" w:type="dxa"/>
        <w:jc w:val="left"/>
        <w:tblInd w:w="0" w:type="dxa"/>
        <w:tblLayout w:type="fixed"/>
        <w:tblCellMar>
          <w:top w:w="28" w:type="dxa"/>
          <w:left w:w="28" w:type="dxa"/>
          <w:bottom w:w="28" w:type="dxa"/>
          <w:right w:w="28" w:type="dxa"/>
        </w:tblCellMar>
      </w:tblPr>
      <w:tblGrid>
        <w:gridCol w:w="769"/>
        <w:gridCol w:w="674"/>
        <w:gridCol w:w="686"/>
        <w:gridCol w:w="109"/>
        <w:gridCol w:w="109"/>
        <w:gridCol w:w="109"/>
        <w:gridCol w:w="211"/>
        <w:gridCol w:w="721"/>
        <w:gridCol w:w="154"/>
      </w:tblGrid>
      <w:tr>
        <w:trPr/>
        <w:tc>
          <w:tcPr>
            <w:tcW w:w="76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Reported 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expense on the Perceptive Loan was $1.2 million and $1.6 million during the three and six months ended June 30, 2026, respectively, including interest expense related to debt discount and debt issuance costs of the Perceptive Loan of $0.1 million and $0.1 million, respectively.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Swiss COVID-19 Credit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May 2020, Pulmonx International Sàrl, a wholly owned subsidiary of the Company, received 0.5 million Swiss Francs ($0.5 million U.S. dollar equivalent) from a COVID-19 Credit Agreement under a Swiss Federal Government program. The COVID-19 Credit Agreement currently bears interest at a rate of 1.5% per year, payable at the end of each calendar quarter. The loan principal is being repaid in twelve equal installments, paid semi-annually, which began in March of 2022. Interest expense was immaterial during the three and six months ended June 30, 2026 and June 30, 2025. As of June 30, 2026, Pulmonx International Sàrl has repaid 0.4 million Swiss Francs to the lender.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20"/>
        <w:jc w:val="left"/>
        <w:rPr/>
      </w:pPr>
      <w:hyperlink w:anchor="i4205e8a7a40245098d09967f5c05561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Interim Condensed Consolidated Financial Statements (Unaudited)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Contractual Maturities of Financing Obligations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the aggregate future payments under the Perceptive Agreement and Swiss COVID-19 Credit Agreement (including interest payments) are as follows (in thousands):</w:t>
      </w:r>
    </w:p>
    <w:tbl>
      <w:tblPr>
        <w:tblW w:w="3846" w:type="dxa"/>
        <w:jc w:val="left"/>
        <w:tblInd w:w="0" w:type="dxa"/>
        <w:tblLayout w:type="fixed"/>
        <w:tblCellMar>
          <w:top w:w="28" w:type="dxa"/>
          <w:left w:w="28" w:type="dxa"/>
          <w:bottom w:w="28" w:type="dxa"/>
          <w:right w:w="28" w:type="dxa"/>
        </w:tblCellMar>
      </w:tblPr>
      <w:tblGrid>
        <w:gridCol w:w="997"/>
        <w:gridCol w:w="880"/>
        <w:gridCol w:w="883"/>
        <w:gridCol w:w="211"/>
        <w:gridCol w:w="721"/>
        <w:gridCol w:w="154"/>
      </w:tblGrid>
      <w:tr>
        <w:trPr/>
        <w:tc>
          <w:tcPr>
            <w:tcW w:w="99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Fiscal Year Ending December 31, </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2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PIK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exit fee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20"/>
              </w:rPr>
              <w:t>Term loan and credit agreement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7.    Common Stock Warrant Liability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the date of the funding of each Additional Loan Draw under the Perceptive Agreement, the Company will issue to Perceptive the Additional Warrants to purchase a number of shares of common stock equal to 0.025 times the dollar amount of delayed draw term loans funded on such date, with an exercise price equal to a 25% premium to the 10-day volume weighted average price of the Company’s common stock for the period ending on the business day immediately preceding such date.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Additional Warrants will not be issued legally until the Additional Loan Draws occur but are considered issued for accounting purposes upon execution of the Perceptive Agreement. The Additional Warrants do not meet the requirements for equity classification, and are recorded as liabilities on the condensed consolidated balance sheets. The Additional Warrants are recorded at fair value upon issuance, are subject to remeasurement to fair value at each reporting date, with any changes in fair value recognized in other (expense) income, net in the condensed consolidated statements of operations and comprehensive loss, and were accounted for as debt discount. The Additional Warrants had a fair value of $0.3 million and $0.2 million as of the issuance date and June 30, 2026, respectively. The change in fair value was less than $0.1 million during both the three and six months ended June 30, 2026. The Company values the common stock warrant liability using a probability-weighted Black-Scholes Merton option-pricing model (Note 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8.    Revenue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contract liabilities consist of deferred revenue for remaining performance obligations by the Company to the customer after delivery, which was less than $0.1 million and less than $0.1 million as of June 30, 2026 and December 31, 2025, respectively. The deferred revenue as of December 31, 2025 of less than $0.1 million was recognized as revenue during the six months ended June 30, 2026. The deferred revenue as of December 31, 2024 of $0.1 million was recognized as revenue during the six months ended June 30,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disaggregates its revenue by major geographic region, which has been disclosed in Note 13, “Segment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20"/>
        <w:jc w:val="left"/>
        <w:rPr/>
      </w:pPr>
      <w:hyperlink w:anchor="i4205e8a7a40245098d09967f5c05561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Interim Condensed Consolidated Financial Statements (Unaudited)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a lease for its headquarters location in Redwood City, California, which consists of approximately 24,591 square feet of office space (the “existing premises”) and was scheduled to expire on July 31, 2025 (the “Office Lease”). The Company leases additional facilities in Redwood City, California, under a sublease agreement, which consist of approximately 25,254 square feet of office space (the “expansion premises”) and was scheduled to expire on September 30, 2024 (the “Sublease”).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2024, the Company entered into a third amendment to Sublease (the “Third Amendment to Sublease”) to extend the lease term of the expansion premises through May 31, 2028. The Third Amendment to Sublease contains a rent-free period between November 1, 2024 and February 28, 2025, after which rent is approximately $0.1 million per month and is subject to an annual increase of approximately 3%.</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also entered into a third amendment to Office Lease (the “Third Amendment to Office Lease”) to extend the lease term of the existing premises through July 31, 2035. The Third Amendment to Office Lease contains a rent-free period, as further described below, after which rent is approximately $0.1 million per month and is subject to an annual increase of approximately 3.5%. Additionally, under the Third Amendment to Office Lease, the Company and the landlord have agreed to expand the existing premises to include the expansion premises, effective as of June 1, 2028, through July 31, 2035 (conterminous with the existing premises as referenced above). Commencing on June 1, 2028, the monthly base rent for the expansion premises will be $0.1 million per month and is subject to an annual increase of approximately 3.5%.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Under the Third Amendment to Office Lease, the Company has two options to extend the lease term on the leased premises for a period of five years, respectively. The Company did not include the renewal options in the lease terms for calculating lease liability, as it was not reasonably certain that the Company will exercise these renewal options. The amendments were accounted for as modifications that resulted in additional right of use assets in exchange for lease liabilities of $16.3 million.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fourth quarter of 2024, the Company entered into an amendment to the Third Amendment to Office Lease, which modified the rent-free period from the original dates of August 1, 2025 through November 30, 2025, to a new period from October 1, 2024 through December 31, 2024. There was no change to the other terms of the lease agreement that would materially impact the condensed consolidated financial statements. The amendment was accounted for as a modification that resulted in additional right of use assets in exchange for lease liabilities of $0.4 million.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fourth quarter of 2024, the Company entered into a five-year lease for a new office facility in Switzerland. The lease commenced in the first quarter of 2025, with total future minimum rent payments of $0.5 million. The Company recognized right of use assets in exchange for lease liabilities of $0.4 million related to this new lease in the first quarter of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has leases on nineteen vehicles with an average lease term of 3.0 years.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Operating lease cost consists of the following (in thousands):</w:t>
      </w:r>
    </w:p>
    <w:tbl>
      <w:tblPr>
        <w:tblW w:w="4043" w:type="dxa"/>
        <w:jc w:val="left"/>
        <w:tblInd w:w="0" w:type="dxa"/>
        <w:tblLayout w:type="fixed"/>
        <w:tblCellMar>
          <w:top w:w="28" w:type="dxa"/>
          <w:left w:w="28" w:type="dxa"/>
          <w:bottom w:w="28" w:type="dxa"/>
          <w:right w:w="28" w:type="dxa"/>
        </w:tblCellMar>
      </w:tblPr>
      <w:tblGrid>
        <w:gridCol w:w="651"/>
        <w:gridCol w:w="572"/>
        <w:gridCol w:w="576"/>
        <w:gridCol w:w="211"/>
        <w:gridCol w:w="616"/>
        <w:gridCol w:w="109"/>
        <w:gridCol w:w="109"/>
        <w:gridCol w:w="109"/>
        <w:gridCol w:w="109"/>
        <w:gridCol w:w="211"/>
        <w:gridCol w:w="61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20"/>
        <w:jc w:val="left"/>
        <w:rPr/>
      </w:pPr>
      <w:hyperlink w:anchor="i4205e8a7a40245098d09967f5c05561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Interim Condensed Consolidated Financial Statements (Unaudited)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 maturity analysis of the Company’s lease liabilities showing the aggregate lease payments as of June 30, 2026 (in thousands):</w:t>
      </w:r>
    </w:p>
    <w:tbl>
      <w:tblPr>
        <w:tblW w:w="5510" w:type="dxa"/>
        <w:jc w:val="left"/>
        <w:tblInd w:w="0" w:type="dxa"/>
        <w:tblLayout w:type="fixed"/>
        <w:tblCellMar>
          <w:top w:w="28" w:type="dxa"/>
          <w:left w:w="28" w:type="dxa"/>
          <w:bottom w:w="28" w:type="dxa"/>
          <w:right w:w="28" w:type="dxa"/>
        </w:tblCellMar>
      </w:tblPr>
      <w:tblGrid>
        <w:gridCol w:w="1599"/>
        <w:gridCol w:w="1410"/>
        <w:gridCol w:w="1415"/>
        <w:gridCol w:w="211"/>
        <w:gridCol w:w="721"/>
        <w:gridCol w:w="154"/>
      </w:tblGrid>
      <w:tr>
        <w:trPr/>
        <w:tc>
          <w:tcPr>
            <w:tcW w:w="1599"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 Ending December 31,</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4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of lease payments representing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future minimum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Reported as:</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additional information related to the Company’s operating leases (in thousands, except weighted average data):</w:t>
      </w:r>
    </w:p>
    <w:tbl>
      <w:tblPr>
        <w:tblW w:w="7008" w:type="dxa"/>
        <w:jc w:val="left"/>
        <w:tblInd w:w="0" w:type="dxa"/>
        <w:tblLayout w:type="fixed"/>
        <w:tblCellMar>
          <w:top w:w="28" w:type="dxa"/>
          <w:left w:w="28" w:type="dxa"/>
          <w:bottom w:w="28" w:type="dxa"/>
          <w:right w:w="28" w:type="dxa"/>
        </w:tblCellMar>
      </w:tblPr>
      <w:tblGrid>
        <w:gridCol w:w="1412"/>
        <w:gridCol w:w="1238"/>
        <w:gridCol w:w="1250"/>
        <w:gridCol w:w="211"/>
        <w:gridCol w:w="721"/>
        <w:gridCol w:w="109"/>
        <w:gridCol w:w="109"/>
        <w:gridCol w:w="109"/>
        <w:gridCol w:w="109"/>
        <w:gridCol w:w="109"/>
        <w:gridCol w:w="109"/>
        <w:gridCol w:w="109"/>
        <w:gridCol w:w="211"/>
        <w:gridCol w:w="721"/>
        <w:gridCol w:w="109"/>
        <w:gridCol w:w="109"/>
        <w:gridCol w:w="109"/>
        <w:gridCol w:w="154"/>
      </w:tblGrid>
      <w:tr>
        <w:trPr/>
        <w:tc>
          <w:tcPr>
            <w:tcW w:w="141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Right of use asset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other supplemental information related to the Company’s operating leases (in thousands):</w:t>
      </w:r>
    </w:p>
    <w:tbl>
      <w:tblPr>
        <w:tblW w:w="10205" w:type="dxa"/>
        <w:jc w:val="left"/>
        <w:tblInd w:w="0" w:type="dxa"/>
        <w:tblLayout w:type="fixed"/>
        <w:tblCellMar>
          <w:top w:w="28" w:type="dxa"/>
          <w:left w:w="28" w:type="dxa"/>
          <w:bottom w:w="28" w:type="dxa"/>
          <w:right w:w="28" w:type="dxa"/>
        </w:tblCellMar>
      </w:tblPr>
      <w:tblGrid>
        <w:gridCol w:w="2899"/>
        <w:gridCol w:w="2523"/>
        <w:gridCol w:w="2538"/>
        <w:gridCol w:w="211"/>
        <w:gridCol w:w="616"/>
        <w:gridCol w:w="109"/>
        <w:gridCol w:w="109"/>
        <w:gridCol w:w="109"/>
        <w:gridCol w:w="109"/>
        <w:gridCol w:w="211"/>
        <w:gridCol w:w="616"/>
        <w:gridCol w:w="155"/>
      </w:tblGrid>
      <w:tr>
        <w:trPr/>
        <w:tc>
          <w:tcPr>
            <w:tcW w:w="2899"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 included in cash flows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 a party to various litigation claims in the normal course of business. Legal fees and other costs associated with such actions are expensed as incurred. The Company assesses, in conjunction with legal counsel, the need to record a liability for litigation and contingencies. Accrual estimates are recorded when and if it is determinable that such a liability for litigation and contingencies are both probable and reasonably estimable.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2022, the Company received a civil investigative demand (“CID”) from the U.S. Department of Justice (“US DOJ”), in connection with an investigation under the False Claims Act. The CID requested information and documents regarding our relationships with certain health care providers, medical practices, and hospitals in connection with the sales and marketing of the Zephyr Valves and related products and services. Subsequently, 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20"/>
        <w:jc w:val="left"/>
        <w:rPr/>
      </w:pPr>
      <w:hyperlink w:anchor="i4205e8a7a40245098d09967f5c05561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Interim Condensed Consolidated Financial Statements (Unaudited)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about January 27, 2025 the US DOJ filed on behalf of itself and certain states attorneys general, a Notice of Election to Decline Intervention in and to unseal the underlying action that was the basis of the CID, filed by an individual (the “Relator”) in U.S. District Court for the Northern District of California (the “Qui Tam Action”). In December 2025, the Company entered into a settlement agreement with the Relator, with approval by the US DOJ and the various states’ attorneys general who were parties to the Qui Tam Action. The Qui Tam Action was dismissed on December 22,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income tax expense for the three months ended June 30, 2026 and June 30, 2025 was $0.1 million and $0.2 million, respectively. The income tax expense for the six months ended June 30, 2026 and June 30, 2025 was $0.3 million and $0.3 million, respectively. The income tax expense was determined based upon estimates of the Company’s effective income tax rates in various jurisdictions. The difference between the Company’s effective income tax rate and the U.S. federal statutory rate is primarily attributable to state income taxes, foreign income taxes, and non-recognition of US tax benefit because of a full valuation allowance against US deferred tax assets.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income tax expense for the six months ended June 30, 2026 and June 30, 2025 relates primarily to state minimum income tax and income tax on the Company’s earnings in foreign jurisdictions.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“Act”) was signed into law. The Act contains significant tax law changes with various effective dates after its enactment date. The Company has evaluated the impact of the Act as part of its income tax provision for the six months ended June 30, 2026. Given the Company’s current loss position and the full valuation allowance recorded against its deferred tax assets, the enactment of the Act did not have a material impact on the Company’s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11.    Stockholders’ Equity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Company’s certificate of incorporation authorized the Company to issue up to 200,000,000 shares of common stock. Common stockholders are entitled to dividends as and when declared by the Company’s board of directors, subject to the rights of holders of all classes of stock outstanding having priority rights as to dividends. There have been no dividends declared to date. The holder of each share of common stock is entitled to one vote.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Shares Reserved for Future Issuance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reserved shares of common stock for future issuances as follows:</w:t>
      </w:r>
    </w:p>
    <w:tbl>
      <w:tblPr>
        <w:tblW w:w="8196" w:type="dxa"/>
        <w:jc w:val="left"/>
        <w:tblInd w:w="0" w:type="dxa"/>
        <w:tblLayout w:type="fixed"/>
        <w:tblCellMar>
          <w:top w:w="28" w:type="dxa"/>
          <w:left w:w="28" w:type="dxa"/>
          <w:bottom w:w="28" w:type="dxa"/>
          <w:right w:w="28" w:type="dxa"/>
        </w:tblCellMar>
      </w:tblPr>
      <w:tblGrid>
        <w:gridCol w:w="1809"/>
        <w:gridCol w:w="1590"/>
        <w:gridCol w:w="1595"/>
        <w:gridCol w:w="565"/>
        <w:gridCol w:w="516"/>
        <w:gridCol w:w="241"/>
        <w:gridCol w:w="109"/>
        <w:gridCol w:w="109"/>
        <w:gridCol w:w="109"/>
        <w:gridCol w:w="540"/>
        <w:gridCol w:w="541"/>
        <w:gridCol w:w="472"/>
      </w:tblGrid>
      <w:tr>
        <w:trPr/>
        <w:tc>
          <w:tcPr>
            <w:tcW w:w="1809"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options issued and outstanding</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2,582,800 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3,067,088 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restricted stock units issued and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7,159,036 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6,667,812 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available for future grants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2,439,593 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2,204,802 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available for employee stock purchase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2,055,542 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1,795,996 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15,736,971 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13,735,698 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20"/>
        <w:jc w:val="left"/>
        <w:rPr/>
      </w:pPr>
      <w:hyperlink w:anchor="i4205e8a7a40245098d09967f5c05561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Interim Condensed Consolidated Financial Statements (Unaudited)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summary of stock option activity for the six months ended June 30, 2026 is set forth below:</w:t>
      </w:r>
    </w:p>
    <w:tbl>
      <w:tblPr>
        <w:tblW w:w="6574" w:type="dxa"/>
        <w:jc w:val="left"/>
        <w:tblInd w:w="0" w:type="dxa"/>
        <w:tblLayout w:type="fixed"/>
        <w:tblCellMar>
          <w:top w:w="28" w:type="dxa"/>
          <w:left w:w="28" w:type="dxa"/>
          <w:bottom w:w="28" w:type="dxa"/>
          <w:right w:w="28" w:type="dxa"/>
        </w:tblCellMar>
      </w:tblPr>
      <w:tblGrid>
        <w:gridCol w:w="907"/>
        <w:gridCol w:w="797"/>
        <w:gridCol w:w="800"/>
        <w:gridCol w:w="488"/>
        <w:gridCol w:w="488"/>
        <w:gridCol w:w="196"/>
        <w:gridCol w:w="111"/>
        <w:gridCol w:w="111"/>
        <w:gridCol w:w="111"/>
        <w:gridCol w:w="552"/>
        <w:gridCol w:w="1612"/>
        <w:gridCol w:w="401"/>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Outstanding Options</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3,067,088 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forfeited and expired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(457,704)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2,582,800 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of options outstanding as of June 30, 2026 was $0.</w:t>
      </w:r>
    </w:p>
    <w:tbl>
      <w:tblPr>
        <w:tblW w:w="10205" w:type="dxa"/>
        <w:jc w:val="left"/>
        <w:tblInd w:w="0" w:type="dxa"/>
        <w:tblLayout w:type="fixed"/>
        <w:tblCellMar>
          <w:top w:w="28" w:type="dxa"/>
          <w:left w:w="28" w:type="dxa"/>
          <w:bottom w:w="28" w:type="dxa"/>
          <w:right w:w="28" w:type="dxa"/>
        </w:tblCellMar>
      </w:tblPr>
      <w:tblGrid>
        <w:gridCol w:w="996"/>
        <w:gridCol w:w="877"/>
        <w:gridCol w:w="880"/>
        <w:gridCol w:w="469"/>
        <w:gridCol w:w="434"/>
        <w:gridCol w:w="436"/>
        <w:gridCol w:w="109"/>
        <w:gridCol w:w="109"/>
        <w:gridCol w:w="109"/>
        <w:gridCol w:w="516"/>
        <w:gridCol w:w="1508"/>
        <w:gridCol w:w="266"/>
        <w:gridCol w:w="109"/>
        <w:gridCol w:w="109"/>
        <w:gridCol w:w="109"/>
        <w:gridCol w:w="925"/>
        <w:gridCol w:w="925"/>
        <w:gridCol w:w="1319"/>
      </w:tblGrid>
      <w:tr>
        <w:trPr/>
        <w:tc>
          <w:tcPr>
            <w:tcW w:w="99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Contractual Life (in Years)</w:t>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vested and exercisable</w:t>
            </w:r>
          </w:p>
        </w:tc>
        <w:tc>
          <w:tcPr>
            <w:tcW w:w="1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2,357,491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vested and expected to vest</w:t>
            </w:r>
          </w:p>
        </w:tc>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Total aggregate intrinsic value of options vested and exercisable as of June 30, 2026 was $0.</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Service-Based Restricted Stock Units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estimates the fair value of service-based restricted stock units based on the closing price of the Company’s common stock on the grant date. A summary of service-based restricted stock units activity for the six months ended June 30, 2026 is set forth below:</w:t>
      </w:r>
    </w:p>
    <w:tbl>
      <w:tblPr>
        <w:tblW w:w="7723" w:type="dxa"/>
        <w:jc w:val="left"/>
        <w:tblInd w:w="0" w:type="dxa"/>
        <w:tblLayout w:type="fixed"/>
        <w:tblCellMar>
          <w:top w:w="28" w:type="dxa"/>
          <w:left w:w="28" w:type="dxa"/>
          <w:bottom w:w="28" w:type="dxa"/>
          <w:right w:w="28" w:type="dxa"/>
        </w:tblCellMar>
      </w:tblPr>
      <w:tblGrid>
        <w:gridCol w:w="1065"/>
        <w:gridCol w:w="935"/>
        <w:gridCol w:w="940"/>
        <w:gridCol w:w="524"/>
        <w:gridCol w:w="526"/>
        <w:gridCol w:w="196"/>
        <w:gridCol w:w="109"/>
        <w:gridCol w:w="109"/>
        <w:gridCol w:w="109"/>
        <w:gridCol w:w="773"/>
        <w:gridCol w:w="1873"/>
        <w:gridCol w:w="56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5,275,312 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2,016,980 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(1,090,847)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Forfeited and expired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5,783,536 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fair value as of the respective vesting dates of restricted stock units that vested during the three months ended June 30, 2026 and June 30, 2025 was $1.2 million and $1.6 million, respectively. The fair value as of the respective vesting dates of restricted stock units that vested during the six months ended June 30, 2026 and June 30, 2025 was $1.8 million and $4.3 million, respectively.</w:t>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20"/>
        <w:jc w:val="left"/>
        <w:rPr/>
      </w:pPr>
      <w:hyperlink w:anchor="i4205e8a7a40245098d09967f5c05561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Interim Condensed Consolidated Financial Statements (Unaudited)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Performance-Based Restricted Stock Units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fiscal year 2025, the Company granted 326,848 performance-based restricted stock units (“PSUs”) to employees. The final number of PSUs awarded will be determined based on the Company’s consolidated cumulative revenue over a two-year performance period and may vest at a rate ranging from 0% to 200% of the target number of shares. Any PSUs awarded at the end of the performance period will vest in equal installments over the following four quarters. The Company estimates the fair value of these performance-based restricted stock units based on the closing price of its common stock on the grant date. Compensation expense for these awards is calculated based on the expected achievement of the target revenue metrics and is recognized over the requisite service period.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December 2025, the Company granted 1,200,000 restricted stock units with service and market conditions to certain employees. The vesting of the market-based restricted stock units will be met 33% after one year and the remainder thereunder in equal installments quarterly over the following two years subject to continued employment. Vesting is also contingent on the average closing price of the Company’s common stock being greater than $4.00 over a period of 60 consecutive trading days within three years. The Company estimated the fair value of these market-based restricted stock units on the date of grant using a Monte Carlo simulation including the following assumptions: expected volatility of 100.0%; a risk-free rate of 3.6%; and a cost of equity of 16%. Compensation expense for these awards is recognized over the requisite service period for each tranche based on the graded vested method. The requisite service period is the longer of the explicit service period or the derived service period based on the market condition for each tranche. The derived service period was estimated to be 0.98 years.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Activity with respect to performance-based and market-based restricted stock units was as follows:</w:t>
      </w:r>
    </w:p>
    <w:tbl>
      <w:tblPr>
        <w:tblW w:w="7976" w:type="dxa"/>
        <w:jc w:val="left"/>
        <w:tblInd w:w="0" w:type="dxa"/>
        <w:tblLayout w:type="fixed"/>
        <w:tblCellMar>
          <w:top w:w="28" w:type="dxa"/>
          <w:left w:w="28" w:type="dxa"/>
          <w:bottom w:w="28" w:type="dxa"/>
          <w:right w:w="28" w:type="dxa"/>
        </w:tblCellMar>
      </w:tblPr>
      <w:tblGrid>
        <w:gridCol w:w="1065"/>
        <w:gridCol w:w="935"/>
        <w:gridCol w:w="940"/>
        <w:gridCol w:w="109"/>
        <w:gridCol w:w="109"/>
        <w:gridCol w:w="109"/>
        <w:gridCol w:w="488"/>
        <w:gridCol w:w="488"/>
        <w:gridCol w:w="196"/>
        <w:gridCol w:w="109"/>
        <w:gridCol w:w="109"/>
        <w:gridCol w:w="109"/>
        <w:gridCol w:w="773"/>
        <w:gridCol w:w="1873"/>
        <w:gridCol w:w="56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1,392,500 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and 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1,375,500 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Total Stock-Based Compensation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is reflected in the statements of operations and comprehensive loss as follows (in thousands):</w:t>
      </w:r>
    </w:p>
    <w:tbl>
      <w:tblPr>
        <w:tblW w:w="7893" w:type="dxa"/>
        <w:jc w:val="left"/>
        <w:tblInd w:w="0" w:type="dxa"/>
        <w:tblLayout w:type="fixed"/>
        <w:tblCellMar>
          <w:top w:w="28" w:type="dxa"/>
          <w:left w:w="28" w:type="dxa"/>
          <w:bottom w:w="28" w:type="dxa"/>
          <w:right w:w="28" w:type="dxa"/>
        </w:tblCellMar>
      </w:tblPr>
      <w:tblGrid>
        <w:gridCol w:w="1070"/>
        <w:gridCol w:w="939"/>
        <w:gridCol w:w="946"/>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721"/>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above stock-based compensation expense related to the following equity-based awards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20"/>
        <w:jc w:val="left"/>
        <w:rPr/>
      </w:pPr>
      <w:hyperlink w:anchor="i4205e8a7a40245098d09967f5c05561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Interim Condensed Consolidated Financial Statements (Unaudited)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tbl>
      <w:tblPr>
        <w:tblW w:w="8253" w:type="dxa"/>
        <w:jc w:val="left"/>
        <w:tblInd w:w="0" w:type="dxa"/>
        <w:tblLayout w:type="fixed"/>
        <w:tblCellMar>
          <w:top w:w="28" w:type="dxa"/>
          <w:left w:w="28" w:type="dxa"/>
          <w:bottom w:w="28" w:type="dxa"/>
          <w:right w:w="28" w:type="dxa"/>
        </w:tblCellMar>
      </w:tblPr>
      <w:tblGrid>
        <w:gridCol w:w="1199"/>
        <w:gridCol w:w="1054"/>
        <w:gridCol w:w="1062"/>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721"/>
        <w:gridCol w:w="154"/>
      </w:tblGrid>
      <w:tr>
        <w:trPr/>
        <w:tc>
          <w:tcPr>
            <w:tcW w:w="119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restricted stock units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Stock-based compensation of $0.3 million and $0.5 million was capitalized into inventory for the three months ended June 30, 2026 and June 30, 2025, respectively. Stock-based compensation of $0.6 million and $0.9 million was capitalized into inventory for each of the six months ended June 30, 2026 and June 30, 2025, respectively. Stock-based compensation capitalized in prior periods of $0.4 million and $0.6 million was recognized as cost of sales in the three months ended June 30, 2026 and June 30, 2025, respectively. Stock-based compensation capitalized in prior periods of $0.7 million and $1.1 million was recognized as cost of sales in the six months ended June 30, 2026 and June 30, 2025,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was $22.7 million of unrecognized compensation costs related to unvested common stock options and restricted stock units, expected to be recognized over a weighted-average period of 2.2 years.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unrecognized stock-based compensation relating to the employee stock purchase plan of less than $0.1 million, which is expected to be recognized over a weighted-average period of 0.1 years.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Common stock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March 2, 2026, in connection with entering into the Perceptive Agreement, the Company issued to Perceptive the Initial Warrants to purchase up to 1,000,000 shares of the Company’s common stock with an exercise price of $1.92 per share.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Initial Warrants are classified as a component of permanent equity within the Company's condensed consolidated balance sheets as they meet the criteria for equity classification. The Initial Warrants were initially recorded at their relative fair value of $1.1 million as of the issuance date as a debt discount and are not subject to subsequent remeasurement. The Initial Warrants were valued using the following assumptions under the Black-Scholes Merton option pricing model: expected term of 7 years, volatility of 81.7%, a risk-free rate of 3.8%, and a dividend yield of 0%. None of the Initial Warrants have been exercised.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12.    Net Loss per Share Attributable to Common Stockholders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loss per share attributable to common stockholders which excludes shares which are legally outstanding, but subject to repurchase by the Company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738"/>
        <w:gridCol w:w="1332"/>
        <w:gridCol w:w="1347"/>
        <w:gridCol w:w="240"/>
        <w:gridCol w:w="841"/>
        <w:gridCol w:w="109"/>
        <w:gridCol w:w="109"/>
        <w:gridCol w:w="109"/>
        <w:gridCol w:w="109"/>
        <w:gridCol w:w="240"/>
        <w:gridCol w:w="841"/>
        <w:gridCol w:w="109"/>
        <w:gridCol w:w="109"/>
        <w:gridCol w:w="109"/>
        <w:gridCol w:w="109"/>
        <w:gridCol w:w="240"/>
        <w:gridCol w:w="841"/>
        <w:gridCol w:w="109"/>
        <w:gridCol w:w="109"/>
        <w:gridCol w:w="109"/>
        <w:gridCol w:w="109"/>
        <w:gridCol w:w="240"/>
        <w:gridCol w:w="841"/>
        <w:gridCol w:w="156"/>
      </w:tblGrid>
      <w:tr>
        <w:trPr/>
        <w:tc>
          <w:tcPr>
            <w:tcW w:w="173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used to compute basic and diluted net loss per share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42,468,762 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40,429,655 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42,184,793 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40,193,469 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20"/>
        <w:jc w:val="left"/>
        <w:rPr/>
      </w:pPr>
      <w:hyperlink w:anchor="i4205e8a7a40245098d09967f5c05561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Interim Condensed Consolidated Financial Statements (Unaudited)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potentially dilutive securities outstanding have been excluded from the computation of diluted weighted average shares outstanding because such securities have an antidilutive impact due to the Company’s net loss, in common stock equivalent shares:</w:t>
      </w:r>
    </w:p>
    <w:tbl>
      <w:tblPr>
        <w:tblW w:w="7361" w:type="dxa"/>
        <w:jc w:val="left"/>
        <w:tblInd w:w="0" w:type="dxa"/>
        <w:tblLayout w:type="fixed"/>
        <w:tblCellMar>
          <w:top w:w="28" w:type="dxa"/>
          <w:left w:w="28" w:type="dxa"/>
          <w:bottom w:w="28" w:type="dxa"/>
          <w:right w:w="28" w:type="dxa"/>
        </w:tblCellMar>
      </w:tblPr>
      <w:tblGrid>
        <w:gridCol w:w="1648"/>
        <w:gridCol w:w="1453"/>
        <w:gridCol w:w="1459"/>
        <w:gridCol w:w="540"/>
        <w:gridCol w:w="541"/>
        <w:gridCol w:w="156"/>
        <w:gridCol w:w="125"/>
        <w:gridCol w:w="125"/>
        <w:gridCol w:w="125"/>
        <w:gridCol w:w="488"/>
        <w:gridCol w:w="488"/>
        <w:gridCol w:w="213"/>
      </w:tblGrid>
      <w:tr>
        <w:trPr/>
        <w:tc>
          <w:tcPr>
            <w:tcW w:w="164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2,582,800 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3,657,135 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7,159,036 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4,412,948 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committed under employee stock purchase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11,386,801 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8,113,990 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13.    Segment Information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chief operating decision maker (“CODM”) for the Company is the Chief Executive Officer. The Company’s Chief Executive Officer reviews financial information presented on a consolidated basis, accompanied by information about revenue by geographic region, for purposes of allocating resources and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 The Company’s Chief Executive Officer evaluates performance based primarily on revenue in the geographic locations in which the Company operates.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Revenue by geographic area is based on the billing address of the customer. The following table sets forth the Company’s revenue by geographic area (in thousands):</w:t>
      </w:r>
    </w:p>
    <w:tbl>
      <w:tblPr>
        <w:tblW w:w="8775" w:type="dxa"/>
        <w:jc w:val="left"/>
        <w:tblInd w:w="0" w:type="dxa"/>
        <w:tblLayout w:type="fixed"/>
        <w:tblCellMar>
          <w:top w:w="28" w:type="dxa"/>
          <w:left w:w="28" w:type="dxa"/>
          <w:bottom w:w="28" w:type="dxa"/>
          <w:right w:w="28" w:type="dxa"/>
        </w:tblCellMar>
      </w:tblPr>
      <w:tblGrid>
        <w:gridCol w:w="1301"/>
        <w:gridCol w:w="1139"/>
        <w:gridCol w:w="114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30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Middle-East and Africa (“EMEA”)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CODM also utilizes the Company’s long-range plan as a key input for resource allocation. The CODM makes decisions on resource allocation, assesses performance of the business, and monitors budget versus actual results using consolidated net loss. Significant expenses within consolidated net loss include cost of goods sold, research and development, and selling, general and administrative expenses, which are each separately presented on the Company’s condensed consolidated statements of operations and comprehensive loss. In addition, the CODM is provided with the stock-based compensation expense included in research and development expenses and selling, general and administrative expenses. See Note 11, “Stockholders’ Equity” for more information. Other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20"/>
        <w:jc w:val="left"/>
        <w:rPr/>
      </w:pPr>
      <w:hyperlink w:anchor="i4205e8a7a40245098d09967f5c05561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Interim Condensed Consolidated Financial Statements (Unaudited)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items included in consolidated net loss are interest income, interest expense, and other (expense) income, net, and income tax expense.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Long-lived assets by geographic area are based on physical location of those assets. The following table sets forth the Company’s long-lived assets by geographic area (in thousands):</w:t>
      </w:r>
    </w:p>
    <w:tbl>
      <w:tblPr>
        <w:tblW w:w="3602" w:type="dxa"/>
        <w:jc w:val="left"/>
        <w:tblInd w:w="0" w:type="dxa"/>
        <w:tblLayout w:type="fixed"/>
        <w:tblCellMar>
          <w:top w:w="28" w:type="dxa"/>
          <w:left w:w="28" w:type="dxa"/>
          <w:bottom w:w="28" w:type="dxa"/>
          <w:right w:w="28" w:type="dxa"/>
        </w:tblCellMar>
      </w:tblPr>
      <w:tblGrid>
        <w:gridCol w:w="435"/>
        <w:gridCol w:w="381"/>
        <w:gridCol w:w="383"/>
        <w:gridCol w:w="211"/>
        <w:gridCol w:w="616"/>
        <w:gridCol w:w="109"/>
        <w:gridCol w:w="109"/>
        <w:gridCol w:w="109"/>
        <w:gridCol w:w="109"/>
        <w:gridCol w:w="245"/>
        <w:gridCol w:w="716"/>
        <w:gridCol w:w="179"/>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together with our condensed consolidated financial statements and the related notes and other financial information included elsewhere in this Quarterly Report on Form 10-Q. This discussion and other parts of this Quarterly Report on Form 10-Q contain forward-looking statements that involve risks and uncertainties, such as statements of our plans, objectives, expectations and intentions, that are based on the beliefs of our management, as well as assumptions made by, and information currently available to, our management. Our actual results could differ materially from those discussed in these forward-looking statements. Factors that could cause or contribute to such differences include, but are not limited to, those discussed in the sections of this Quarterly Report entitled “Forward-Looking Statements” and “Risk Factors,” under Part II, Item 1A and those discussed in our Annual Report on Form 10-K for the year ended December 31, 2025 filed with the Securities and Exchange Commission (“SEC”) on March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a commercial-stage medical technology company that provides a minimally invasive treatment for patients with severe emphysema, a form of chronic obstructive pulmonary disease. Our solution, which is comprised of the Zephyr Valve, the Chartis System and the LungTraX Platform, is designed to treat severe emphysema patients who, despite medical management, are still profoundly symptomatic and either do not want or are ineligible for surgical approaches.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2018, we received pre-market approval (“PMA”) from the U.S. Food and Drug Administration (“FDA”) for the Zephyr Valve following its Breakthrough Device designation. The Zephyr Valve is commercially available in numerous countries globally. We have established reimbursement in major markets in North America, Europe and Asia Pacific and the Zephyr Valve has been included in treatment guidelines for COPD worldwide.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also manufacture the AeriSeal System, which is a synthetic polymer foam designed to occlude, or close, collateral air channels in a target lung lobe and convert the target lung lobe to having little to no collateral ventilation (CV-). The AeriSeal System has received a “Breakthrough Device” designation by the FDA and a Certificate of Conformity (“CE Mark”) in Europe. The AeriSeal System is not approved by the FDA or approved for commercial sale in the United States. It is in a global clinical trial called CONVERT II to support a PMA application.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market and sell our products in the United States through a direct sales organization. Our sales territory managers are focused on promoting awareness and increasing adoption of our solution primarily among the pulmonologists performing interventional pulmonary procedures across approximately 500 high-volume hospitals in the United States. We are expanding our commercial operations in the United States while continuing to foster our international growth. We employ both direct and distributor-based sales models, with 99% of our revenue generated in markets where we sell directly for the six months ended June 30,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United States, our solution is reimbursed based on established Category I Current Procedural Terminology (“CPT”) and ICD-10 Procedure Coding System (“PCS”) codes and associated APC and MS-DRG payment groupings. Current reimbursement in the United States is believed to cover the hospital costs of the procedure and related inpatient care. Commercial payors such as Aetna, Humana, and many of the largest Blue Cross Blue Shield plans including Anthem, Health Care Service Corporation, BCBS Michigan, and Highmark have all issued positive coverage policies for the Zephyr Valve, and United Healthcare no longer considers the procedure unproven or experimental. Medicare covers our solution for patients when medically necessary, and other commercial insurers are approving prior authorization requests on a case-by-case basis. Outside the United States, our solution is covered by major health systems across much of Europe, Australia, South Korea and Japan.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manufacture all our products at our headquarters located in Redwood City, California. This facility supports production and distribution operations, including manufacturing, quality control, raw material and finished goods storage. We have manufactured all our products at this facility for over ten years. We also store finished goods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secondary facilities. We seek to maintain higher levels of inventory to protect ourselves from supply interruptions and have an established distribution system for both U.S. and international customers.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date, we have financed our operations primarily through the sale of our products, the sale of equity securities, and debt financing arrangements. We have devoted substantially all of our resources to research and development activities related to our solution, including clinical and regulatory initiatives to obtain marketing approval, sales and marketing activities, and investing in general and administrative infrastructure. We generated revenue of $22.8 million, with a gross margin of 78.0% and a net loss of $10.1 million, for the three months ended June 30, 2026 compared to revenue of $23.9 million, with a gross margin of 72.1% and a net loss of $15.2 million, for the three months ended June 30, 2025. For the six months ended June 30, 2026, we generated revenue of $43.3 million, with a gross margin of 78.0% and a net loss of $23.7 million, compared to revenue of $46.4 million, with a gross margin of 72.3% and a net loss of $29.6 million, for the six months ended June 30, 2025. As of June 30, 2026, we had an accumulated deficit of $545.3 million, cash and cash equivalents of $55.8 million, and $37.5 million of outstanding term loans and credit agreements, net of debt discount and debt issuance costs.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invested heavily in product development. Our research and development activities have been centered on driving continuous improvements to our solution. We have also made significant investments in clinical studies to demonstrate the safety and efficacy of the Zephyr Valve and to support regulatory submissions. We intend to continue to make significant investments in our sales and marketing organization throughout the United States, Europe and Asia Pacific. We have made, and intend to continue to make, investments in research and development efforts to develop our next generation products and support our future regulatory submissions to increase our addressable market and to expand indications and new markets. Because of these and other factors, we expect to continue to incur net losses for the next several years and we expect to require substantial additional funding, which may include future equity and debt financings.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Management believes that the Company’s existing cash and cash equivalents will allow the Company to continue its operations for at least the next 12 months from the date of the issuance of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Factors Affecting our Business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believe there are several important factors that have impacted and that we expect will continue to impact our business and results of operations. These factors include: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Ability to Recruit, Train and Retain Our Sales Force and its Productivity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made, and intend to continue to make, significant investments in recruiting, training and retaining our direct sales force. This process requires significant education and training for our sales personnel to achieve the level of technical competency with our products that is expected by physicians and to gain experience building demand for our products. Upon completion of the training, our sales personnel typically require time in the field to grow their network of accounts and increase their productivity to the levels we expect. Successfully recruiting, training and retaining additional sales personnel will be required to achieve growth. In addition, inability to attract qualified sales personnel or the loss of any productive sales personnel would have a negative impact on our ability to grow our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in the past and expect in the future to enter into different compensation arrangements with our sales professionals, which include minimum guaranteed commissions. This has impacted our compensation expenses in the past and we expect it will do so in the future.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Physician, Patient and Hospital Awareness and Acceptance of Our Solution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continue to promote awareness of our solution through training and educating physicians, pulmonary rehabilitation centers, key opinion leaders and various medical societies on the proven clinical benefits of Zephyr Valves. In addition, we intend to continue to publish additional clinical data in various industry and scientific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journals and online and to present at various industry conferences. We plan to continue building patient awareness through our direct-to-patient marketing initiatives, which include advertising, social media and online education. We also intend to continue helping physicians in their outreach to patients and other healthcare providers. These efforts require significant investment by our marketing and sales organization, and vary depending upon the physician’s practice specialization, and personal preferences and geographic location of physicians, pulmonary rehabilitation centers and patients. In order to grow our business, we will need to continue to make significant investments in training and educating hospitals, physicians and patients on the advantages of our solution for the treatment of severe emphysema. We are also working to improve the efficiency of our commercial initiatives for treating centers to accelerate patient identification and treatment conversion.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Third-Party Reimbursement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Since achieving regulatory approval in the United States in 2018, we have launched the Zephyr Valve treatment and have made progress securing third-party payor reimbursement. The majority of our patients are Medicare-eligible beneficiaries. We estimate that roughly 75% of the potential Zephyr Valve patient population are Medicare beneficiaries, 5% are Medicaid beneficiaries, and 20% of the potential Zephyr Valve patient population is under third-party commercial payor policies or other government programs. We continue to work to broaden our coverage by private third-party payor policies. Commercial payors such as Aetna, Humana, and many of the largest Blue Cross Blue Shield plans including Anthem, Health Care Service Corporation, BCBS Michigan, and Highmark have issued positive coverage policies for the Zephyr Valve, and United Healthcare no longer considers the procedure unproven or experimental. Some commercial payors do not yet consider our solution medically necessary, but these same plans are approving prior authorization requests on a case-by-case basis. Medicare, currently without a public coverage policy, covers our solution for patients when medically necessary on a case-by-case basis and other commercial insurers not described above are approving prior authorization requests on a case-by-case basis.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a dedicated patient reimbursement support team in the United States that works collaboratively with patients and providers to help secure the appropriate prior authorization approvals in advance of treatment. Through this program, we continue to educate private insurers in the United States on our clinical data and patient selection tools in an effort to continue to expand the number of positive coverage policies. Outside of the United States, our solution is covered by major health systems across much of Europe, Australia, South Korea and Japan.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Competition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industry is highly competitive and subject to rapid change from the introduction of new products and technologies and other activities of industry participants. Our goal is to establish our solution as a standard of care for severe emphysema. Existing treatments include medical management, lung volume reduction surgery, lung transplantation as well as other minimally invasive treatments. Some of our competitors have several competitive advantages, including established relationships with pulmonologists who commonly treat patients with emphysema, significantly greater name recognition and significantly greater sales and marketing resources. In addition to competing for market share, we also compete against these companies for personnel, including qualified sales and other personnel that are necessary to grow our business. Certain of our competitors may challenge our intellectual property, may develop additional competing or superior technologies and processes and compete more aggressively and sustain that competition over a longer period of time than we could. In addition to existing competitors, other companies may acquire or in-license competitive products and could directly compete with us. We must continue to successfully compete in light of our competitors’ existing and future products and related pricing and their resources to successfully market to the physicians who use our products.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Leveraging Our Manufacturing Capacity is Critical to Improving Our Gross Margin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With our current operating model and infrastructure, we have the capacity to significantly increase our manufacturing production. If we grow our revenue and sell more units, our fixed manufacturing costs will be spread over more units, which we believe will reduce our manufacturing costs on a per-unit basis and in turn improve our gross margin. In addition, we intend to continue investing in manufacturing efficiencies in order to reduce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overall manufacturing costs. However, other factors will continue to impact our gross margins such as geographic mix, pricing and customer discounts, incentives, support services and potential seasonality.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Investing in Research and Development to Foster Innovation to Expand Our Addressable Market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continue investing in existing and next generation technologies to further improve our products and clinical outcomes, enhance patient selection and broaden the patient population that can be treated with our products. In addition, we are continuing to invest in the accuracy and features of our patient assessment tools. Moreover, we continue to make progress with our CONVERT II pivotal trial of the AeriSeal System, a potential product in development for the treatment of severe emphysema patients who are not qualified for Zephyr Valve treatment due to excessive collateral ventilation.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While research and development and clinical testing are time consuming and costly, we believe that a pipeline of new products and product enhancements that improve efficacy, safety and cost effectiveness is critical to increasing the adoption of our solution.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Historically, we have experienced seasonality, primarily in the first and third quarters and anticipate this trend to continue. In addition, as our sales grow, we may experience further seasonality based on holidays, vacations and other factors because this is an elective procedure.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currently derive substantially all of our revenue from the sale of our products to hospitals and distributors. We market and sell our products through a direct sales organization in the United States and through direct sales and several third-party distributors in select markets outside the United States. We currently generate most of our revenue from the sales of Zephyr Valves and delivery catheters. We also generate a smaller amount of our revenue from our Chartis System, which is comprised of sales of the balloon catheters, usage fees and sales of the Chartis console, and from our LungTraX Platform, which is used to help identify patients potentially eligible for treatment with Zephyr Valves. No customer accounted for more than 10% of our revenue for the three months ended June 30, 2026 and June 30,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Revenue from sales of our products fluctuates based on volume of cases (procedures performed), the average number of Zephyr Valves used for a patient, pricing, discounts, incentives and mix of U.S. and international sales. Our revenue also fluctuates and will continue to fluctuate from quarter-to-quarter due to a variety of factors, including the availability of reimbursement, the size and success of our sales force, the number of hospitals and physicians who are aware of and perform the procedures using our solution and seasonality. Our revenue from international sales may also be impacted by fluctuations in foreign currency exchange rates between the U.S. dollar (our reporting currency) and the local currency.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Cost of Goods Sold and Gross Margin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Cost of goods sold consists primarily of payroll and personnel-related expenses for our manufacturing and quality assurance employees, costs related to materials, components and subassemblies, third-party costs, manufacturing overhead, equipment depreciation, and charges for excess, obsolete and non-sellable inventories. Overhead costs include the cost of quality assurance, testing, material procurement, inventory control, operations supervision and management and an allocation of facilities overhead cost, including rent and utilities. Cost of goods sold also includes certain direct costs such as those incurred for shipping our products and costs related to providing analysis services for patient scans. We record adjustments to our inventory valuation for estimated excess, obsolete and non-sellable inventories based on assumptions about future demand, past usage, changes to manufacturing processes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overall market conditions. We expect cost of goods sold to increase in absolute dollars to the extent more of our products are sold.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calculate gross margin as gross profit divided by revenue. Our gross margin has been and will continue to be affected by a variety of factors, primarily by our manufacturing costs, pricing pressures and, to a lesser extent, the percentage of products we sell in the United States versus internationally and the percentage of products we sell to distributors versus directly to hospitals. Our gross margin is typically higher on products we sell directly to hospitals as compared to products we sell through distributors.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gross margin may increase over the long term to the extent our production volume increases as our fixed manufacturing costs would be spread over a larger number of units, thereby reducing our per-unit manufacturing costs. We expect our gross margin to fluctuate from period to period, however, based upon the factors described above and seasonality.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operating expenses have consisted solely of research and development costs and selling, general and administrative costs.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activities primarily consist of engineering and research programs associated with our products under development and improvements to our existing products. Research and development expenses include payroll and personnel-related costs for our research and development employees, including expenses related to stock-based compensation, consulting services, clinical trial expenses, prototyping, testing, laboratory supplies, impairment charges associated with capitalized internally developed software, and an allocation of facility overhead costs. Our clinical trial expenses, such as those related to the AeriSeal System clinical development program, include costs associated with clinical trial design, clinical trial site development and study costs, data management costs, related travel expenses and the cost of products used for clinical activities. We expense research and development costs as they are incurred. We expect our research and development expenses, including related stock-based compensation expense, to increase in absolute dollars as we hire additional personnel to develop new product offerings and product enhancements.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selling, general and administrative expenses consist of payroll and personnel-related costs for our sales and marketing personnel, including variable sales compensation, travel expenses, consulting, public relations costs, direct marketing, customer training, trade show and promotional expenses, stock-based compensation and allocated facility overhead costs, and for administrative personnel that support our general operations such as information technology, executive management, finance and accounting, customer services and human resources personnel. We expense sales variable compensation at the time of the sale. Selling, general and administrative expenses also include costs attributable to professional fees for legal and accounting services, insurance, consulting fees, recruiting fees, travel expense, bad debt expense and depreciation.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intend to continue to increase our sales and marketing spending to generate sales opportunities. We expect expenses to increase in absolute dollars as we increase our sales support infrastructure and add additional marketing programs in order to more fully penetrate the global opportunity. We also expect our administrative expenses, including stock-based compensation expense, to increase as we increase our headcount and expand our facilities and information technology to support our operations. Additionally, we incur expenses related to audit, legal, regulatory and tax-related services associated with being a public company, compliance with exchange listing and SEC requirements, director and officer insurance premiums and investor relations costs. Our selling, general and administrative expenses may fluctuate from period to period due to the seasonality of our business and as we continue to add direct sales territory managers in new territories.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Expense and Income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expense consists primarily of interest expense related to our term loan facilities, including amortization of debt discount and issuance costs. Interest income is predominantly derived from investing surplus cash in money market funds and marketable securities.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(Expense) Income,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(expense) income, net primarily consists of foreign currency exchange gains and losses and change in fair value of the Additional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Comparison of the Three Months Ended June 30, 2026 and June 30,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period indicated:</w:t>
      </w:r>
    </w:p>
    <w:tbl>
      <w:tblPr>
        <w:tblW w:w="8307" w:type="dxa"/>
        <w:jc w:val="left"/>
        <w:tblInd w:w="0" w:type="dxa"/>
        <w:tblLayout w:type="fixed"/>
        <w:tblCellMar>
          <w:top w:w="28" w:type="dxa"/>
          <w:left w:w="28" w:type="dxa"/>
          <w:bottom w:w="28" w:type="dxa"/>
          <w:right w:w="28" w:type="dxa"/>
        </w:tblCellMar>
      </w:tblPr>
      <w:tblGrid>
        <w:gridCol w:w="1068"/>
        <w:gridCol w:w="942"/>
        <w:gridCol w:w="944"/>
        <w:gridCol w:w="211"/>
        <w:gridCol w:w="796"/>
        <w:gridCol w:w="109"/>
        <w:gridCol w:w="109"/>
        <w:gridCol w:w="109"/>
        <w:gridCol w:w="109"/>
        <w:gridCol w:w="211"/>
        <w:gridCol w:w="796"/>
        <w:gridCol w:w="109"/>
        <w:gridCol w:w="109"/>
        <w:gridCol w:w="109"/>
        <w:gridCol w:w="109"/>
        <w:gridCol w:w="211"/>
        <w:gridCol w:w="691"/>
        <w:gridCol w:w="109"/>
        <w:gridCol w:w="109"/>
        <w:gridCol w:w="109"/>
        <w:gridCol w:w="109"/>
        <w:gridCol w:w="291"/>
        <w:gridCol w:w="294"/>
        <w:gridCol w:w="544"/>
      </w:tblGrid>
      <w:tr>
        <w:trPr/>
        <w:tc>
          <w:tcPr>
            <w:tcW w:w="106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goods sold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tax</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Revenue decreased by $1.1 million, or 4.6%, to $22.8 million for the three months ended June 30, 2026, compared to $23.9 million for the three months ended June 30, 2025. The sale of products in the United States decreased by $0.5 million to $14.2 million for the three months ended June 30, 2026, compared to $14.7 million for the three months ended June 30, 2025. The sale of products in international markets decreased by $0.5 million to $8.6 million for the three months ended June 30, 2026, compared to $9.1 million for the three months ended June 30, 2025. The decrease in revenue in the United States was primarily attributable to a decrease in Zephyr Valve procedure volumes. The decrease in international revenue was primarily attributable to a lack of sales into China as we awaited the renewal of our registration certificate. In June 2026, we secured the renewal of our Chinese registration certificate. We are focused on restarting commercial activity in the region for the remainder of this year and anticipate resuming shipments to our Chinese distributor by early next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Cost of Goods Sold and Gross Margin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Cost of goods sold decreased by $1.6 million, or 24.7%, to $5.0 million for the three months ended June 30, 2026, compared to $6.7 million for the three months ended June 30, 2025. The decrease was mainly due to a decrease in the number of products sold and as a result decreased manufacturing costs. Gross margin increased by 5.9% to 78.0% for the three months ended June 30, 2026, compared to 72.1% for the three months ended June 30, 2025. The increase in gross margin was primarily due to changes in geographic mix during the three months ended June 30, 2026.</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by $0.3 million, or 5.1%, to $5.0 million for the three months ended June 30, 2026, compared to $5.3 million for the three months ended June 30, 2025. The decrease in research and development expense was primarily due to a decrease of $0.2 million in payroll and personnel-related expenses, and a decrease of $0.3 million in testing and other expenses in support of product development, offset by an increase of $0.2 million in costs associated with our clinical trials, including fees paid to clinical research organizations.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by $4.9 million, or 18.5%, to $21.8 million for the three months ended June 30, 2026, compared to $26.7 million for the three months ended June 30, 2025. The decrease in selling, general and administrative expenses was primarily due to a decrease of $2.5 million in payroll and personnel-related expenses for our sales, marketing and administrative personnel, a decrease of $1.4 million in advertising and marketing related expenses, a decrease of $0.8 million in consulting and other professional expenses, and a decrease of $0.2 million in travel and conference related expenses.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Expense and Income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expense increased by $0.4 million to $1.2 million for the three months ended June 30, 2026 compared to $0.8 million for the three months ended June 30, 2025, primarily due to higher interest rates under our Perceptive Loan compared to our CIBC Loan which was fully repaid in March 2026. Interest income decreased by $0.4 million to $0.3 million for the three months ended June 30, 2026 compared to $0.7 million for the three months ended June 30, 2025. The decrease was primarily due to a lower balance of cash, cash equivalents and marketable securities, which resulted in reduced returns on these assets.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(Expense) Income,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(expense) income, net was less than $(0.1) million for the three months ended June 30, 2026 and $(0.1) million for the three months ended June 30, 2025, primarily due to foreign currency exchange gains.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Comparison of the Six Months Ended June 30, 2026 and June 30,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period indicated:</w:t>
      </w:r>
    </w:p>
    <w:tbl>
      <w:tblPr>
        <w:tblW w:w="8307" w:type="dxa"/>
        <w:jc w:val="left"/>
        <w:tblInd w:w="0" w:type="dxa"/>
        <w:tblLayout w:type="fixed"/>
        <w:tblCellMar>
          <w:top w:w="28" w:type="dxa"/>
          <w:left w:w="28" w:type="dxa"/>
          <w:bottom w:w="28" w:type="dxa"/>
          <w:right w:w="28" w:type="dxa"/>
        </w:tblCellMar>
      </w:tblPr>
      <w:tblGrid>
        <w:gridCol w:w="1068"/>
        <w:gridCol w:w="942"/>
        <w:gridCol w:w="944"/>
        <w:gridCol w:w="211"/>
        <w:gridCol w:w="796"/>
        <w:gridCol w:w="109"/>
        <w:gridCol w:w="109"/>
        <w:gridCol w:w="109"/>
        <w:gridCol w:w="109"/>
        <w:gridCol w:w="211"/>
        <w:gridCol w:w="796"/>
        <w:gridCol w:w="109"/>
        <w:gridCol w:w="109"/>
        <w:gridCol w:w="109"/>
        <w:gridCol w:w="109"/>
        <w:gridCol w:w="211"/>
        <w:gridCol w:w="691"/>
        <w:gridCol w:w="109"/>
        <w:gridCol w:w="109"/>
        <w:gridCol w:w="109"/>
        <w:gridCol w:w="109"/>
        <w:gridCol w:w="291"/>
        <w:gridCol w:w="294"/>
        <w:gridCol w:w="544"/>
      </w:tblGrid>
      <w:tr>
        <w:trPr/>
        <w:tc>
          <w:tcPr>
            <w:tcW w:w="106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goods sold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tax</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Revenue decreased by $3.1 million, or 6.6%, to $43.3 million for the six months ended June 30, 2026, compared to $46.4 million for the six months ended June 30, 2025. The sale of products in the United States decreased by $1.6 million to $27.4 million for the six months ended June 30, 2026, compared to $29.0 million for the six months ended June 30, 2025. The sale of products in international markets decreased by $1.5 million to $15.9 million for the six months ended June 30, 2026, compared to $17.4 million for the six months ended June 30, 2025. The decrease in revenue in the United States was primarily attributable to a decrease in Zephyr Valve procedure volumes. The decrease in international revenue was primarily attributable to a lack of sales into China as we awaited the renewal of our registration certificate.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Cost of Goods Sold and Gross Margin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Cost of goods sold decreased by $3.3 million, or 25.6%, to $9.6 million for the six months ended June 30, 2026, compared to $12.9 million for the six months ended June 30, 2025. The decrease was mainly due to a decrease in the number of products sold and as a result decreased manufacturing costs. Gross margin increased by 5.7% to 78.0% for the six months ended June 30, 2026, compared to 72.3% for the six months ended June 30, 2025. The increase in gross margin was primarily due to a change in geographic mix during the six months ended June 30, 2026.</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by $0.1 million, or 1.3%, to $9.9 million for the six months ended June 30, 2026, compared to $10.1 million for the six months ended June 30, 2025. The decrease in research and development expense was primarily due to a decrease of $0.4 million in testing and other expenses in support of product development, offset by an increase of $0.3 million in costs associated with our clinical trials, including fees paid to clinical research organizations.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by $7.0 million, or 13.2%, to $45.9 million for the six months ended June 30, 2026, compared to $52.9 million for the six months ended June 30, 2025. The decrease in selling, general and administrative expenses was primarily due to a decrease of $2.8 million in advertising and marketing related expenses, a decrease of $2.7 million in payroll and personnel-related expenses for our sales, marketing and administrative personnel, a decrease of $0.8 million in travel and conference related expenses, and a decrease of $0.7 million in consulting and other professional expenses.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Expense and Income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expense increased by $0.6 million to $2.2 million for the six months ended June 30, 2026 compared to $1.6 million for the six months ended June 30, 2025, primarily due to higher interest rates under our Perceptive Loan compared to our CIBC Loan which was fully repaid in March 2026. Interest income decreased by $0.9 million to $0.7 million for the six months ended June 30, 2026 compared to $1.6 million for the six months ended June 30, 2025. The decrease was primarily due to a lower balance of cash, cash equivalents and marketable securities, which resulted in reduced returns on these assets.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(Expense) Income,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(expense) income, net was $0.1 million for the six months ended June 30, 2026 and $0.1 million for the six months ended June 30, 2025, primarily due to foreign currency exchange gains.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 Plan of Operation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date, we have financed our operations primarily through our initial public offering, private placements of equity securities, debt financing arrangements and sales of our products. As of June 30, 2026, we had cash and cash equivalents of $55.8 million, an accumulated deficit of $545.3 million, and $37.5 million outstanding under the Perceptive Agreement and Swiss COVID-19 Credit Agreement, net of debt discount and debt issuance costs.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Perceptive Loan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March 2, 2026 (the “Closing Date”), we entered into a Credit Agreement and Guaranty (the “Perceptive Agreement”) and a Security Agreement (the “Security Agreement”), with Perceptive Credit Holdings V, LP (“Perceptive”), as the initial lender, administrative agent and collateral agent. The Perceptive Agreement provides for a senior secured term loan facility in an aggregate principal amount of up to $60.0 million (the “Loan Facility”).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the Closing Date, we borrowed an initial loan under the Perceptive Agreement in an aggregate principal amount of $40.0 million (the “Perceptive Loan”). The Loan Facility permits us to borrow up to an additional $20.0 million, in two additional equal tranches (the “Additional Loan Draws”). The first $10.0 million Additional Loan Draw becomes available if we reach at least $92.5 million in revenue for any trailing twelve-month period ending as of the end of the last day of any fiscal quarter through, and including, the fiscal quarter ending September 30, 2027, and the second $10.0 million Additional Loan Draw becomes available if we reach at least $100.0 million in revenue for any trailing twelve-month period ending as of the end of the last day of any fiscal quarter through, and including, the fiscal quarter ending December 31, 2027.</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Loan Facility has a maturity date of March 2, 2031 (the “Maturity Date”). The Loan Facility accrues interest, payable monthly in arrears, at an annual rate equal to the sum of (a) an applicable margin of 7.00% (the “Applicable Margin”) plus (b) the greater of (i) one-month term SOFR and (ii) 3.75%. Upon the occurrence and during the continuance of an event of default under the Perceptive Agreement, the Applicable Margin will increase by an additional 3.00% per annum at Perceptive’s election (retroactive to the date of such event of default), or automatically in the case of a payment or bankruptcy event of default.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each interest payment date occurring on or prior to March 2, 2029, we have the option to pay interest as follows: 2.0% per annum paid-in-kind (“PIK”) by increasing the principal of the Perceptive Loan and the remaining interest payable paid in cash. For each payment date through June 30, 2026, we elected the PIK option, increasing the principal of the Perceptive Loan by $0.3 million.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Perceptive Agreement contains certain representations and warranties, affirmative covenants, negative covenants, and events of default that are customarily required for similar financings. In addition, the Perceptive Agreement contains financial covenants requiring us to (i) at all times prior to the Maturity Date, maintain minimum unrestricted cash and certain types of marketable securities of at least $4.0 million and (ii) maintain our annual trailing consolidated revenue determined in accordance with U.S. GAAP, tested on a quarterly basis, starting from $85.0 million over a trailing 12-month period ending March 31, 2026, and increasing to $107.5 million for the trailing 12-month period ending December 31, 2030. The occurrence of an event of default under the Perceptive Agreement could result in, among other things, the declaration that all outstanding principal and interest thereunder are immediately due and payable in whole or in part. As of June 30, 2026, we were in compliance with the covenants contained in the Perceptive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paid $1.6 million in fees to Perceptive and third parties which is reflected as a discount on the Perceptive Loan and is being accreted over the life of the loan using the effective interest method. Also, on the Closing Date, we issued to Perceptive a warrant to purchase up to 1,000,000 shares of our common stock (the “Initial Warrants”), and will issue warrants to purchase up to 500,000 shares of our common stock (which number of shares will be adjusted for any stock splits, stock combinations and the like that take place after the Closing Date and prior to the applicable funding date) if we borrow additional tranches of loan under the Perceptive Agreement (the “Additional Warrants” and together with the “Initial Warrants”, the “Warrants”). The Warrants had a fair value of $1.4 million as of the issuance date, which was accounted for as debt discount. The Warrants, regardless of issuance date, have an expiration date of March 2, 2033, may be exercised on a cashless or “net” basis, and will be automatically exercised, on a cashless basis, prior to their expiration if the value of the shares underlying the Warrants is greater than the then-applicable exercise price.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the Perceptive Loan had an annual effective interest rate of 13.9% per year.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expense on the Perceptive Loan was $1.2 million and $1.6 million during the three and six months ended June 30, 2026, respectively, including interest expense related to debt discount and debt issuance costs of the Perceptive Loan of $0.1 million and $0.1 million,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our entry into the Loan Facility, on March 2, 2026, we repaid all outstanding indebtedness under the Amended and Restated Loan and Security Agreement, dated March 29, 2021, as amended (the “Amended and Restated CIBC Agreement”), among us and the Canadian Imperial Bank of Commerce, as lender, and terminated all our obligations and commitments thereunder.</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Swiss COVID-19 Credit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May 2020, Pulmonx International Sàrl, our wholly owned subsidiary, received 0.5 million Swiss Francs ($0.5 million U.S. dollar equivalent) from a COVID-19 Credit Agreement under a Swiss Federal Government program. The COVID-19 Credit Agreement currently bears interest at a rate of 1.5% per year, payable at the end of each calendar quarter. The loan principal is being repaid in twelve equal installments, paid semi-annually, which began in March of 2022. As of June 30, 2026, Pulmonx International Sàrl has repaid 0.4 million Swiss Francs to the lender.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Summary Statement of Cash Flows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primary sources and uses of cash and cash equivalents for the period presented below:</w:t>
      </w:r>
    </w:p>
    <w:tbl>
      <w:tblPr>
        <w:tblW w:w="8214" w:type="dxa"/>
        <w:jc w:val="left"/>
        <w:tblInd w:w="0" w:type="dxa"/>
        <w:tblLayout w:type="fixed"/>
        <w:tblCellMar>
          <w:top w:w="28" w:type="dxa"/>
          <w:left w:w="28" w:type="dxa"/>
          <w:bottom w:w="28" w:type="dxa"/>
          <w:right w:w="28" w:type="dxa"/>
        </w:tblCellMar>
      </w:tblPr>
      <w:tblGrid>
        <w:gridCol w:w="2029"/>
        <w:gridCol w:w="1785"/>
        <w:gridCol w:w="1796"/>
        <w:gridCol w:w="211"/>
        <w:gridCol w:w="796"/>
        <w:gridCol w:w="109"/>
        <w:gridCol w:w="109"/>
        <w:gridCol w:w="109"/>
        <w:gridCol w:w="109"/>
        <w:gridCol w:w="211"/>
        <w:gridCol w:w="796"/>
        <w:gridCol w:w="154"/>
      </w:tblGrid>
      <w:tr>
        <w:trPr/>
        <w:tc>
          <w:tcPr>
            <w:tcW w:w="2029"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$15.3 million for the six months ended June 30, 2026. Cash used in operating activities was primarily a result of the net loss of $23.7 million, an increase in inventory of $1.2 million mainly due to an increase in finished goods, a decrease in accrued liabilities of $0.4 million primarily due to payment of incentive compensation expense associated with the achievement of performance objectives, a decrease in lease liabilities of $0.6 million due to lease payments, and an increase in accounts receivable of $0.3 million due to the timing of payments from our customers. This is partially offset by stock-based compensation expense of $7.8 million, non-cash lease expense of $0.8 million, an increase in accounts payable of $0.8 million due to timing of payments to our vendors, depreciation and amortization expense of $0.4 million, a decrease in prepaid expenses and other current assets of $0.5 million primarily due to the timing of payments to our vendors, and $0.3 million of interest incurred but paid-in-kind.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$17.1 million for the six months ended June 30, 2025. Cash used in operating activities was primarily a result of the net loss of $29.6 million, a decrease in accrued liabilities of $2.4 million primarily due to payment of incentive compensation expense associated with the achievement of performance objectives, an increase in accounts receivable of $1.9 million primarily due to the timing of payments from our customers, an increase in other assets of $0.4 million primarily due to capitalized implementation costs of a hosting arrangement, amortization of premiums and discounts on marketable securities of $0.3 million, and a decrease in lease liabilities of $0.3 million due to lease payments. This is partially offset by stock-based compensation expense of $11.8 million, an increase in accounts payable of $2.6 million due to timing of payments to our vendors, a decrease in inventory of $1.1 million due to shipment of products, a decrease in prepaid expenses and other current assets of $1.1 million primarily due to the timing of payments to our vendors, non-cash lease expense of $0.6 million, and depreciation and amortization expense of $0.6 million.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in the six months ended June 30, 2026 was less than $0.1 million, consisting of purchases of property and equipment.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in the six months ended June 30, 2025 was $21.8 million, consisting of proceeds from maturities of marketable securities of $27.8 million, offset by purchases of marketable securities of $5.7 million and purchases of property and equipment of $0.4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in the six months ended June 30, 2026 was $1.5 million, consisting of proceeds from our Perceptive Loan of $38.8 million, and proceeds from the issuance of common stock under the employee stock purchase plan of $0.2 million, partially offset by repayment of our CIBC Loan of $37.0 million.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in the six months ended June 30, 2025 was $0.6 million, consisting of proceeds from the issuance of common stock under the employee stock purchase plan of $0.6 million and proceeds from the exercise of common stock options of $0.1 million, offset by repayment of debt under the Credit Agreement of less than $0.1 million and payment of debt issuance cost of less than $0.1 million.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Material Cash Requirements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net cash operating expenditures were $15.3 million in the six months ended June 30, 2026 and $17.1 million in the six months ended June 30, 2025. We intend to continue to make investments in the development of our products, including ongoing research and development programs. Our cash outflows for capital expenditures were less than $0.1 million and $0.4 million in the six months ended June 30, 2026 and June 30, 2025, respectively, and we expect to maintain the level of expenditures in the future to support our commercial infrastructure, sales force and other commercialization efforts. Recent and expected working and other capital requirements include amounts related to future lease payments for operating lease obligations, which totaled $28.2 million as of June 30, 2026, with $3.0 million expected to be paid within the next 12 months, and amounts related to future short-term and long-term debt which totaled $62.3 million, with $3.7 million expected to be paid within the next 12 months. Lastly, we may undertake additional expenses to further expand our commercial organization and efforts, enhance our research and development efforts and pursue product expansion opportunities.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and cash equivalents of $55.8 million. Based on our current planned operations, we expect that our cash and cash equivalents will enable us to fund our operating expenses for at least 12 months from the issuance of our condensed consolidated financial statements as of and for the six months ended June 30, 2026. We believe we will meet longer-term expected future cash requirements and obligations through a combination of available cash and cash equivalents, sales of our products, debt financings, and access to other public or private equity offerings. We have based these estimates on assumptions that may prove to be wrong, and we could utilize our available capital resources sooner than we expect.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research, development and commercialization of medical devices, we are unable to estimate the exact amount of our working capital requirements. Our future funding requirements will depend on many factors, including: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the costs of commercialization activities related to commercializing our products in the United States and elsewhere, including expanding territories, increasing sales and marketing personnel, actual and anticipated product sales, marketing programs, manufacturing and distribution costs;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cost of filing, prosecuting, defending and enforcing any patent claims and other intellectual property rights;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research and development activities we intend to undertake, product enhancements that we intend to pursue;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whether or not we pursue acquisitions or investments in businesses, products or technologies that are complementary to our current business;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the degree and rate of market acceptance of our products in the United States and elsewhere;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changes or fluctuations in our inventory supply needs and forecasts of our supply needs;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our need to implement additional infrastructure and internal systems;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our ability to hire additional personnel to support our operations as a public company;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emergence of competing technologies or other adverse market developments;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impact of any public health crises on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Until such time, if ever, as we can generate product revenue sufficient to achieve profitability, we expect to finance our cash needs through a combination of public or private equity offerings, debt financings and collaborations or licensing arrangements. There can be no assurance that our efforts to procure additional financing will be successful or that, if they are successful, the terms and conditions of such financing will be favorable to us or our stockholders.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raise additional capital through collaborations agreements, licensing arrangements or marketing and distribution arrangements, we may have to relinquish valuable rights to our technologies, future revenue streams, research programs or product candidates or grant licenses that may not be favorable to us. If we are unable to raise capital when needed, we will need to delay, limit, reduce or terminate planned commercialization or product development activities, or grant rights to develop and commercialize products or product candidates that we would otherwise prefer to develop and market ourselves in order to reduce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financial statements have been prepared in accordance with U.S. generally accepted accounting principles, or U.S. GAAP. The preparation of these financial statements requires us to make estimates and assumptions that affect the reported amounts of assets and liabilities, the disclosure of contingent assets and liabilities at the date of the financial statements and the reported amounts of revenues and expenses incurred during the reporting periods. Our estimates are based on our knowledge of current events and actions we may undertake in the future and on various other factors that we believe are reasonable under the circumstances, the results of which form the basis for making judgments about the carrying value of assets and liabilities that are not readily apparent from other sources. Actual results may materially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critical accounting policies are described under the heading “Management’s Discussion and Analysis of Financial Condition and Results of Operations—Critical Accounting Estimates” in our Annual Report on Form 10-K for the fiscal year ended December 31, 2025, filed with the SEC on March 10, 2026, and the notes to the unaudited condensed consolidated financial statements included in “Part I, Item 1 — Financial Statements” of this Quarterly Report on Form 10-Q. During the six months ended June 30, 2026, except as described in Note 2 to the unaudited interim condensed financial statements appearing elsewhere in this Quarterly Report on Form 10-Q, there were no material changes to our critical accounting estimates from those discussed in our Annual Report on Form 10-K for the fiscal year ended December 31, 2025, filed with the SEC on March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See “Recent Accounting Pronouncements” in Note 3 to our consolidated financial statements included elsewhere in this Quarterly Report on Form 10-Q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exposed to certain market risks in the ordinary course of our business. Our market risk exposure is primarily a result of exposure resulting from interest rates, currency exchange rates, and effects of inflation.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exposed to interest rate risks related to our cash, cash equivalents and borrowings. We had cash and cash equivalents of $55.8 million as of June 30, 2026, which consist of cash and money market funds. We held cash in foreign banks of approximately $10.4 million as of June 30, 2026 that was not federally insured. Interest-earning money market funds carry a degree of interest rate risk; however, historical fluctuations in interest income have not been significant.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had outstanding debt of $37.4 million under the Perceptive Agreement with an annual effective interest rate of 13.9% as of June 30, 2026. In the ordinary course of business, we may enter into contractual arrangements to reduce our exposure to interest rate risks. We believe that a 10% change in interest rates would not have a significant impact on our consolidated financial statements.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operate in countries other than the United States and are exposed to foreign currency risks. Revenue from sales outside of the United States represented 36.7% and 37.6% of our total revenue for the six months ended June 30, 2026 and June 30, 2025, respectively. We bill most direct sales outside of the United States in local currencies, which are mostly comprised of the Swiss franc, the Euro, the British pound, and the Australian dollar. Operating expenses related to these sales are largely denominated in the same respective currency, thereby limiting our transaction risk exposure. We therefore believe that the risk of a significant impact on our operating income from foreign currency fluctuations is not significant. The risk of a significant impact on our operating income from foreign currency fluctuations will further diminish as revenue from sales to customers in the United States increases and represents a greater proportion of total revenues. A 10% change in weighted average foreign currency exchange rates would have changed our revenues and operating expenses for the six months ended June 30, 2026 by approximately $1.6 million and $1.0 million, respectively, with a net impact of $0.6 million on our net loss. A 10% change in weighted average foreign currency exchange rates would have changed our revenues and operating expenses for the three months ended June 30, 2025 by approximately $1.7 million and $1.0 million, respectively, with a net impact of $0.7 million on our net loss. We do not currently hedge our exposure to foreign currency exchange rate fluctuations; however, we may choose to hedge our exposure in the future.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High inflation rates in the U.S. and overseas have resulted in increased transportation, wages, and other costs. Inflation may generally affect us by increasing our cost of labor, commercial support, manufacturing and clinical trial expenditures. Although we do not believe that inflation has had a material impact on our financial position or results of operations to date, if our costs become subject to significant inflationary pressures, we may not be able to fully offset such higher costs with increased revenues. Our inability or failure to do so could harm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Evaluation of Our Disclosure Controls and Procedures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Disclosure controls and procedures, as defined in Rule 13a-15(e) under the Securities Exchange Act of 1934, as amended (the “Exchange Act”), are controls and procedures that are designed to ensure that information required to be disclosed in the reports that we file or submit under the Exchange Act is recorded, processed, summarized and reported within the time periods specified in the SEC’s rules and forms and accumulated and communicated to our management, including our Chief Executive Officer and Chief Financial Officer, or persons performing similar functions, as appropriate to allow timely decisions regarding required disclosure.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has evaluated the effectiveness of our disclosure controls and procedures as of the end of the period covered by this Quarterly Report on Form 10-Q. Based upon that evaluation, our management, including our Chief Executive Officer and Chief Financial Officer, has concluded that our disclosure controls and procedures were effective as of June 30, 2026.</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Changes in Internal Controls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occurred during the three months ended June 30, 2026 that have materially affected, or are reasonably likely to materially affect, our internal control over financial reporting.</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Further, our internal control over financial reporting is designed to provide reasonable assurance regarding the reliability of financial reporting and the preparation of our consolidated financial statements for external purposes in accordance with U.S.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our consolidated financial statements in accordance with U.S.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consolidated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control system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Also, any evaluation of the effectiveness of controls in future periods are subject to the risk that those controls may become inadequate because of changes in business conditions, or that the degree of compliance with the policies or procedures may deteriorate.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not a party to any material legal proceedings at this time. From time to time, we may be subject to various legal proceedings and claims that arise in the ordinary course of business. Although the results of litigation and claims cannot be predicted with certainty,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 Please see also the matters under “Commitments and Contingencies—Contingencies” in Note 9 to the unaudited interim condensed consolidated financial statements appearing elsewhere in this Quarterly Report on Form 10-Q.</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Our business involves significant risks, some of which are described below. You should carefully consider these risks, as well as the other information in this Quarterly Report on Form 10-Q, including the section entitled “Management’s Discussion and Analysis of Financial Condition and Results of Operations” and the financial statements and the related notes. The occurrence of any of the events or developments described below could have a material adverse effect on our business, results of operations, financial condition, prospects and stock price. Additional risks and uncertainties not presently known to us or that we currently deem immaterial may also impair our business operations. This Quarterly Report on Form 10-Q also contains forward-looking statements that involve risks and uncertainties. Our actual results could differ materially from those anticipated in the forward-looking statements as a result of factors that are described below and elsewhere in this Quarterly Report on Form 10-Q.</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Summary Risk Factors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business involves significant risks, some of which are described below. The principal factors and uncertainties that make investing in our common stock risky include, among others: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have a history of significant net losses, which we expect to continue, and we may not be able to achieve or sustain profitability in the future;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have limited experience marketing and selling our solution;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currently rely on a single product, the Zephyr Endobronchial Valve (“Zephyr Valve”), which can only be marketed for limited indications, and if we are not successful in commercializing the Zephyr Valve, our business, financial condition and results of operations will be negatively affected;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business is dependent on hospital, physician and patient adoption of our solution as a treatment for severe emphysema. If hospitals, physicians or patients are unwilling to change current practices to adopt our solution, it will negatively affect our business, financial condition and results of operations;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we fail to receive access to hospital facilities our sales may decrease;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Use of the Zephyr Valve involves risks and may result in complications, including pneumothorax or death, and is contraindicated in certain patients, which may limit adoption and negatively affect our business, financial condition and results of operations;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we are unable to achieve and maintain adequate levels of coverage or reimbursement for our solution, or any future products we may seek to commercialize, or if patients are left with significant out-of-pocket costs, our commercial success may be severely hindered;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we fail to retain marketing and sales personnel and, as we grow, fail to increase our marketing and sales capabilities or develop broad awareness of our solution in a cost-effective manner, we may not be able to generate revenue growth;</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have limited long-term data regarding the safety and effectiveness of our products, including the Zephyr Valve;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have limited experience manufacturing our products in significant commercial quantities and we face manufacturing risks that may adversely affect our ability to manufacture our products, reduce our gross margins and negatively affect our business, financial condition and results of operations;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If our information technology systems or data, or those of third parties with whom we work, are or were compromised, we could experience adverse impacts resulting from such compromise, including, but not limited to, interruptions to our operations such as to our LungTraX Platform services or our clinical trials,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claims that we breached our data protection obligations, harm to our reputation, business operations, and financial condition, as well as a loss of customers or sales;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operating results may fluctuate significantly, which makes our future operating results difficult to predict and could cause our operating results to fall below expectations or any guidance we may provide;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sizes of the markets for our current and future products have not been established with precision and may be smaller than we estimate and may decline. Certain patients may not have regions of the lung with little to no collateral ventilation, making them poor candidates for the Zephyr Valve. In addition, if the overall rate of smokers continues to decline, this may eventually decrease the number of patients suffering from COPD and emphysema and, accordingly, who would benefit from our solution;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expect to continue to incur net losses for the next several years and we expect to require substantial additional capital to finance our planned operations, which may include future equity and debt financings. This additional capital may not be available to us on acceptable terms or at all. Our failure to obtain additional financing when needed on acceptable terms, or at all, could force us to delay, limit, reduce or eliminate our commercialization, sales and marketing efforts, product development programs or other operations;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products and operations are subject to extensive government regulation and oversight both in the United States and abroad. If we fail to obtain and maintain necessary regulatory approvals for the Zephyr Valve and related products, or if approvals or certification for future products and indications are delayed or not issued, it will negatively affect our business, financial condition and results of operations;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may become involved in intellectual property litigation, infringement claims, or administrative proceedings that could be costly and could interfere with our ability to sell and market our products.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Business and Strategy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We have a history of significant net losses, which we expect to continue, and we may not be able to achieve or sustain profitability in the future.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incurred net losses since our inception. For the six months ended June 30, 2026 and June 30, 2025, we had net losses of $23.7 million and $29.6 million, respectively, and we expect to continue to incur additional losses. As of June 30, 2026, we had an accumulated deficit of $545.3 million. We expect to continue to incur significant sales and marketing, research and development, regulatory and other expenses as we grow our sales force and expand our marketing efforts to increase adoption of our products, expand existing relationships with our customers, obtain regulatory clearances, certification or approvals for our planned or future products, conduct clinical trials on our existing and planned or future products and develop new products or add new features to our existing products. The net losses that we incur may fluctuate significantly from period to period. We will need to generate significant additional revenue in order to achieve and sustain profitability. Even if we achieve profitability, we cannot be sure that we will remain profitable for any substantial period of time.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have limited experience marketing and selling our solution.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began commercializing our solution and the Zephyr Valve in the United States in 2018 and, through our predecessors, in the European Union (the “EU”) and other European countries in 2003. Our limited commercialization experience and limited number of approved or cleared products make it difficult to evaluate our current business and predict our future prospects. These factors also make it difficult for us to forecast our future financial performance and growth, and such forecasts are subject to a number of uncertainties, including our ability to successfully complete clinical trials and obtain pre-market approval or 510(k) clearance by the FDA for future planned products in the United States or in key international markets. Our commercialization efforts will depend on the efforts of our management and sales team, our third-party suppliers, physicians and hospitals, and general economic conditions, among other factors, including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effectiveness of our marketing and sales efforts in the United States and internationally;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success in educating physicians and patients about the benefits, administration and use of the Zephyr Valves;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acceptance by physicians, patients and payors of the safety and effectiveness of the Zephyr Valves, including the long-term data;</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third-party suppliers’ ability to supply the components of the Zephyr Valves in a timely manner, in accordance with our specifications and in compliance with applicable regulatory requirements, and to remain in good standing with regulatory agencies;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impact of any public health crisis on our business, financial condition and results of operations;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availability, perceived advantages, relative cost, relative safety and relative efficacy of alternative and competing therapies;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ability to obtain, maintain and enforce our intellectual property rights in and to the Zephyr Valves;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emergence of competing technologies and other adverse market developments, and our need to enhance the Zephyr Valves or develop new products to maintain market share in response to such competing technologies or market developments;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ability to raise additional capital on acceptable terms, or at all, if needed to support the commercialization of the Zephyr Valves;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ability to achieve and maintain compliance with all regulatory requirements applicable to the Zephyr Valves.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our assumptions regarding the risks and uncertainties we face, which we use to plan our business, are incorrect or change due to circumstances in our business or our markets, or if we do not address these risks successfully, it will negatively affect our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currently rely on a single product, the Zephyr Valve, which can only be marketed for limited indications, and if we are not successful in commercializing the Zephyr Valve, our business, financial condition and results of operations will be negatively affected.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business currently depends entirely on our ability to successfully commercialize the Zephyr Valve, as well as our overall solution, in a timely manner. We have no other therapeutic products currently approved for sale in the United States and we may never be able to develop additional marketable products or enhancements to the Zephyr Valve solution. Additionally, although we do sell and rent the Chartis System and sell the catheters used for the delivery of the Zephyr Valve and in connection with the Chartis System, these sales and rentals are ultimately dependent on sales of the Zephyr Valve as they are not used independently. Currently, our solution is only available to treat patients with severe emphysema in the United States and additional limited indications internationally where we have obtained the necessary regulatory approvals, certification or clearances. Therefore, we are dependent on widespread market adoption of our solution for this limited use-case and we will continue to be dependent on this use-case for the foreseeable future. There can be no assurance that our solution will gain a substantial degree of market acceptance among specialty physicians, patients or healthcare providers. Our failure to successfully increase sales of our solution or develop solutions that address forms of COPD beyond severe emphysema and obtain any necessary regulatory approvals, certification or clearances in connection therewith could negatively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success depends in large part on the success of the Zephyr Valve. If we are unable to successfully market and sell the Zephyr Valves, as well as our overall solution, to patients with severe emphysema, it will negatively affect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success will depend on our ability to bring awareness to our solution, and the Zephyr Valve in particular, and educate hospitals and physicians regarding the benefits of our solution over existing products and services and to encourage those parties to recommend our solution to their patients. Sales of Zephyr Valves and delivery catheters accounted for most of our revenue for the six months ended June 30, 2026 and June 30, 2025 and we expect that sales of Zephyr Valves and delivery catheters will continue to account for most of our revenue going forward. We do not know if our solution will be successful over the long term. Moreover, market acceptance may be hindered if physicians are not presented with compelling data demonstrating the efficacy of our solution compared to alternative procedures and technologies. Any studies we, or third parties which we sponsor, may conduct comparing our solution with alternative treatments for severe emphysema will be expensive, time consuming and may not yield positive results. Additionally, adoption will be directly influenced by a number of financial factors, including the ability of providers to obtain sufficient reimbursement from payors for deploying our solution. The safety, efficacy, performance and cost-effectiveness of our solution, on a stand-alone basis and relative to competing treatments and services, will determine the willingness of payors to cover the procedure. While we have established positive coverage policies with major national private payors, such as Aetna, Anthem Blue Cross Blue Shield, Blue Cross Blue Shield of Michigan, Humana, Health Care Service Corporation, and Highmark, other commercial payors, including other plans in the Blue Cross Blue Shield family of plans, do not currently consider our solution medically necessary. No matter the level of coverage by the commercial payor, each patient is generally considered on a case-by-case basis. In addition, Medicare, currently without a public coverage policy, covers our solution for patients when medically necessary on a case-by-case basis. Physicians may be reluctant to recommend our solution to patients covered by such plans with no specific policies because of the uncertainty surrounding reimbursement, rates and the administrative burden of interfacing with patients to answer their questions and support their efforts to obtain adequate reimbursement for our solution. If physicians do not adopt and recommend our solution, it will negatively affect our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business is dependent on hospital, physician and patient adoption of our solution as a treatment for severe emphysema. If hospitals, physicians or patients are unwilling to change current practices to adopt our solution, it will negatively affect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primary strategy to grow our revenue is to take a stepwise approach to market development across key stakeholders in severe emphysema treatment, such as hospitals, physicians and patients. To succeed, our sales force must build deep relationships with pulmonary physicians to encourage them and their hospitals to develop emphysema centers of excellence, where physicians are instructed in the workup of advanced COPD and performance of bronchoscopic lung volume reduction using our solution. In addition, we utilize direct-to-patient marketing initiatives to increase demand through patient empowerment. While the number of hospitals incorporating our solution has increased in recent years, there is a significant group of hospitals and physicians who have not yet adopted our solution, and additional hospitals and physicians may choose not to adopt our solution for a number of reasons, including: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inadequate recruiting or training of talented sales force in existing and new markets to facilitate outreach and further adoption and awareness of Zephyr Valve;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lack of experience with our solution and the Zephyr Valve as a treatment alternative;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the failure of key opinion leaders to continue to provide recommendations regarding the Zephyr Valve, or to assure physicians, patients and healthcare payors of the benefits of the Zephyr Valve as an attractive alternative to other treatment options;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perceived inadequacy of evidence supporting clinical benefits or cost-effectiveness of our solution over existing alternatives;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a perception among some physicians of patients’ inability to tolerate the procedure required to implant our solution;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liability risks generally associated with the use of new products and procedures;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training required to use new products;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lack of availability of adequate third-party payor coverage or reimbursement;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access to hospital bidding processes;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 decrease or delay in the number of procedures performed using our solution as a result of a public health crisis;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competing products and alternatives;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introduction of other novel alternative therapies to treat severe emphysema.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focus our sales, marketing and training efforts primarily on pulmonologists. However, physicians from other disciplines, including primary care physicians, as well as other medical professionals, such as nurse practitioners, respiratory technicians, radiologists and community physicians, are often the initial point of contact for patients with severe emphysema.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These physicians and other medical professionals commonly screen and treat patients with severe emphysema, and are likely to recommend medical management, inhaled medications, pulmonary rehabilitation and supplemental oxygen, or more invasive LVRS or lung transplantations. We believe that educating physicians in these disciplines and other medical professionals about the clinical merits and patient benefits of our solution as a minimally invasive treatment for severe emphysema is a key element of increasing the adoption of our solution. If additional physicians or other medical professionals do not adopt, or existing physician customers cease referring patients to, our solution for any reason, including those listed above, our ability to execute our growth strategy will be impaired, and it will negatively affect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patients will not qualify for our solution if, among other potential reasons, their lung anatomy has collateral ventilation that does not allow for effective treatment with the Zephyr Valve. Patients may not adopt our solution if they are reluctant to undergo a minimally invasive procedure, if they are worried about potential adverse effects of our solution, such as infection, discomfort or weakness, or if they are unable to obtain adequate third-party coverage or reimbursement.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fail to receive access to hospital facilities, our sales may decrease.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United States, in order for physicians to use the Zephyr Valve, we expect that the hospital facilities where these physicians treat patients will typically require us to enter into purchasing contracts setting forth the terms and conditions under which the hospital facilities will purchase Zephyr Valves. This process can be lengthy and time-consuming and require extensive negotiations and management time, and potentially result in delays and increases to the sales cycle before we can sell the Zephyr Valve to these hospitals. In the European Union, certain institutions may require us to engage in a contract bidding process in the event that such institutions are considering making purchase commitments that exceed specified cost thresholds, which vary by jurisdiction. These processes are only open at certain periods of time, and we may not be successful in the bidding process. If we do not receive access to hospital facilities via these contracting processes or otherwise, or if we are unable to secure contracts or tender successful bids, our sales may decrease, and our operating results may be harmed. Furthermore, we may expend significant effort in these time-consuming processes and still may not obtain a purchase contract from such hospitals.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Use of our solution requires appropriate physician training, and inadequate training may lead to negative patient outcomes and negatively affect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successful implantation of the Zephyr Valve depends in part on the training and skill of the physician performing the procedure and on adherence to appropriate patient selection and proper techniques provided in training sessions conducted by our training faculty. For example, we train physicians to ensure correct patient selection and treatment planning using the LungTraX Platform and Chartis System, and proper placement of the Zephyr Valve. Physicians could experience difficulty with the technique necessary to successfully implant the valve and may not achieve the technical competency necessary to complete the training program, or they could fail to properly learn how to interpret our LungTraX Platform or Chartis System. Moreover, physicians rely on their previous medical training and experience when using our solution, and we cannot guarantee that all such physicians will have the necessary skills to properly identify ideal candidates and to perform the procedure. We do not control which physicians use our solution or how much training they receive, and physicians who have not completed our training sessions may nonetheless attempt to use our solution. If physicians implant the Zephyr Valve incorrectly, or do so in a manner that is inconsistent with its labeled indications, with components that are not our products, in patients who are not good candidates, or without adhering to or completing our training sessions, their patient outcomes may not be consistent with the outcomes achieved in our clinical trials. This result may negatively impact the perception of patient benefit and safety, and limit adoption of our solution as a treatment for severe emphysema and our products that facilitate the procedure, which will negatively affect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we may experience difficulty growing the number of physicians who complete our training program if patient demand is low, if the length of time necessary to train each physician is longer than expected, if the capacity of our commercial organization to train physicians is less than expected or if we are unable to sufficiently grow our sales force. All these events would lead to fewer trained physicians qualified to implant the Zephyr Valve, which could negatively affect our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Use of the Zephyr Valve involves risks and may result in complications, including pneumothorax or death, and is contraindicated in certain patients, which may limit adoption and negatively affect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most common serious complications relating to the use of the Zephyr Valve include pneumothoraces, worsening of COPD symptoms, hemoptysis, pneumonia, dyspnea, respiratory failure and, in rare cases, death. Pneumothoraces occur when a lung collapses due to an air leak inside the lung and may result from rapid shifts in air volume in the chest as the target lobe deflates and the neighboring lobe expands following the Zephyr Valve treatment. A pneumothorax typically requires placement of a chest tube to manage the air leak. While most pneumothoraces can be readily managed with standard medical care, in rare cases they can be life-threatening, particularly if left untreated. In the event the pneumothorax does not resolve with standard management, one or more valves can be removed to re-inflate the lung; these are typically replaced later when the pneumothorax has resolved.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our clinical trials, pneumothoraces occurred in 18-34% of patients treated with the Zephyr Valve, and in the LIBERATE study, 17% of the pneumothorax events required no intervention and resolved on their own. Patients who have had their pneumothoraces successfully treated had comparable outcomes to those who did not experience a pneumothorax, other than that their hospital stays were extended by approximately a week compared to the three nights for patients without pneumothoraces.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the LIBERATE study, the majority of pneumothoraces (76%) occurred within three days following a bronchoscopy procedure. During the treatment period (day of procedure to 45 days), there were a total of four deaths (3.1%) in the Zephyr Valve Group (which received Zephyr Valves plus medical management) and none in the Control Group (which received medical management alone). Three of the four deaths were deemed by the investigators to be definitely related to treatment with Zephyr Valves and the remaining one was deemed by the investigators to be probably related to treatment with Zephyr Valves. Each patient that died experienced pneumothorax, with three deaths directly attributed to the pneumothorax and the fourth death the result of respiratory failure, after the pneumothorax had resolved. Two of the pneumothorax-related deaths occurred early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study when patients were being kept in the hospital for one night after the procedure. In order to more closely monitor patients, the study protocol was subsequently amended to keep patients in the hospital for five nights. Based on the full study data, current practice is to keep patients in the hospital for a minimum of three nights post-treatment. Post-hoc analysis has helped to identify risk factors for the group of patients at a higher risk of having a complex pneumothorax event (complex pneumothorax defined as requiring removal of all valves or resulting in death) should one occur. Such high-risk patients include those who are not treated in the most diseased lobe and have greater than 60% destruction of the untreated lung. All four patients who experienced a pneumothorax and died were within this high-risk group. This learning is incorporated in our physician training program for physicians to identify such high-risk patients and to consider alternative targets or other risk mitigation strategies. During the Longer-Term Period (46 days after procedure to 12 months), there was one death (0.8%) in the Zephyr Valve Group from a COPD exacerbation, deemed by the investigators not to be related to treatment with Zephyr Valves, and one cardiac arrhythmia-related death in the Control Group (1.6%).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Outside of clinical trials, patients treated with the Zephyr Valve have also experienced serious complications, including pneumothoraces and death related to the Zephyr Valve.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Serious complications as a result of treatment with Zephyr Valves, and any increase in the rate of complications in or outside of clinical trials, could cause doctors, hospitals and patients to limit adoption of our solution and subject us to costly litigation, require us to pay substantial amounts of money to patients, delay, negatively impact or end our opportunity to receive or maintain regulatory approval to market our products, or require us to suspend or abandon our commercialization efforts, which may negatively impact adoption as well as our business, financial condition and results of operations. Even in a circumstance in which we do not believe that a complication is related to the Zephyr Valve or treatment with the Zephyr Valve, the investigation into the circumstance may be time-consuming or inconclusive and may interrupt our sales efforts or impact and limit the type of regulatory approvals the Zephyr Valve receives or maintains and any related claims may negatively impact adoption as well as our business, financial condition and results of operations. Moreover, perceptions regarding the safety of the Zephyr Valve could be affected even if such complications are unrelated to the Zephyr Valve or treatment with the Zephyr Valve.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Further, our current products are contraindicated, and therefore should not be used, in certain patients, including those for whom bronchoscopic procedures are contraindicated, with evidence of active pulmonary infection, with known allergies to Nitinol (nickel-titanium) or its constituent metals (nickel or titanium) or silicone, who have not quit smoking, or with large bullae encompassing greater than 30% of either lung, and such contraindication may limit adoption and, as a result, negatively impact our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are unable to achieve and maintain adequate levels of coverage or reimbursement for our solution, or any future products we may seek to commercialize, or if patients are left with significant out-of-pocket costs, our commercial success may be severely hindered.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derive substantially all of our revenue from the sale of our products to hospitals and distributors and expect this to continue for the foreseeable future. We primarily sell Zephyr Valves through a direct sales force that primarily engages with pulmonologists in the United States, Europe and Asia Pacific. Hospitals typically bill various third-party payors to cover all or a portion of the costs and fees associated with the procedures in which our solution is used and bill patients for any deductibles or co-payments. As of June 30, 2026, commercial payors such as Aetna, Humana, and many of the largest Blue Cross Blue Shield plans including Anthem, Health Care Service Corporation, BCBS Michigan, and Highmark have issued positive coverage policies for endobronchial valve procedures. United Healthcare removed the endobronchial valve codes from their non-covered list, and as such no longer considers the procedure unproven or experimental. Other commercial payors, including other plans in the Blue Cross Blue Shield family of plans, do not yet consider our solution medically necessary. Medicare, currently without a public coverage policy, covers our solution for patients when medically necessary on a case-by-case basis, and other commercial insurers not described above are approving prior authorization requests on a case-by-case basis.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Centers for Medicare &amp; Medicaid Services (“CMS”) have established guidelines for the coverage and reimbursement of certain products and procedures by Medicare. In general, in order to be reimbursed by Medicare,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healthcare procedure furnished to a Medicare beneficiary must be reasonable and necessary for the diagnosis or treatment of an illness or injury, or to improve the functioning of a malformed body part. The methodology for determining coverage status and the amount of Medicare reimbursement varies based upon, among other factors, the setting in which a Medicare beneficiary received healthcare products and services. Any changes in federal legislation, regulations and policy affecting CMS coverage and reimbursement relative to the procedure using our products could have a material effect on our performance. While no national coverage determination (“NCD”) or local coverage determination (“LCD”) exists for endobronchial valves currently, CMS could develop an NCD, or one or more Medicare contractors could develop an LCD that either restricts coverage or restricts the patient population deemed appropriate for the treatment.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Physicians that insert the Zephyr Valve, or the hospitals for which they work, may be subject to reimbursement claim denials upon submission of the claim. Physicians or hospitals may also be subject to recovery of overpayments if a payor makes payment for the claim and subsequently determines that the payor’s coding, billing or coverage policies were not followed. Whenever possible, prior authorization for coverage for the procedure is recommended before the procedure is performed. When prior authorization is not obtained or not allowed, and the procedure is performed and not covered by third-party payors, physicians or hospitals typically directly bill patients enrolled with these third-party payors for the costs and fees associated with the procedures in which our products are used. Moreover, because there is often no separate reimbursement for supplies used in surgical procedures, the additional cost associated with the use of our solution can affect the profit margin of the hospital or surgery center where the procedure is performed. Some of our target physicians and hospitals may be unwilling to adopt our products in light of the additional associated cost. Further, any decline in the amount payors are willing to reimburse physicians and hospitals could make it difficult for existing physicians and hospitals to continue using or to adopt our solution and could create additional pricing pressure for us. If we are forced to lower the price we charge for our solution, our gross margins will decrease, which will negatively affect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Outside of the United States, reimbursement levels vary significantly by country and by patient. Reimbursement is obtained from a variety of sources, including government sponsors, hospital budgets, or private health insurance plans, or combinations thereof. We have established market access in countries across Europe and Asia Pacific, including Australia, Austria, Belgium, France, Germany, Japan, the Netherlands, the United Kingdom (the “UK”), Scotland, Switzerland and South Korea, and other countries. Even if we succeed in bringing our products to market in additional foreign countries, uncertainties regarding future healthcare policy, legislation and regulation, as well as private market practices, could affect our ability to sell our products in commercially acceptable quantities at acceptable prices.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Third-party payors, whether foreign or domestic, or governmental or commercial, are developing increasingly sophisticated methods of controlling healthcare costs. In addition, no uniform policy of coverage and reimbursement for procedures using our solution exists among third-party payors. Therefore, coverage and reimbursement for procedures using our products can differ significantly from payor to payor. Payors continually review new and existing technologies for possible coverage and can, without notice, deny or reverse coverage for new or existing products and procedures. There can be no assurance that third-party payor policies will provide coverage for procedures in which our products are used. If we are not successful in reversing existing non-coverage policies, if third-party payors that currently cover or reimburse our products and related procedures reverse or limit their coverage in the future or if other third-party payors issue similar policies, this will negatively affect our business, financial condition and results of operations. Further, coverage policies and third-party payor reimbursement rates may change at any time. Therefore, even if favorable coverage is established on one or more products for which we receive regulatory approval, less favorable coverage policies and reimbursement rates may be implemented in the future.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Further, we believe that future coverage and reimbursement may be subject to increased restrictions, such as additional prior authorization requirements, both in the United States and in international markets. Third-party coverage and reimbursement for procedures using our solution or any of our products in development for which we may receive regulatory approval may not be available or adequate in either the United States or international markets, which will negatively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Third-party payors and physicians who do not cover or use the Zephyr Valve may require additional clinical data prior to maintaining coverage of or adopting the Zephyr Valve.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success depends on physician and third-party payor acceptance of our solution as an effective treatment option for patients with severe emphysema. If physicians or payors do not find our body of published clinical evidence and data compelling or wish to wait for additional studies, they may choose not to use or provide coverage and reimbursement for our solution.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the long-term effects of use of the Zephyr Valve to treat severe emphysema are not yet known. Certain physicians, hospitals and payors may prefer to see longer-term safety and efficacy data published than we have produced. Further, we cannot provide assurance that any data that we or others may generate in the future will be consistent with that observed in our existing clinical studies.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fail to retain marketing and sales personnel and, as we grow, fail to increase our marketing and sales capabilities or develop broad awareness of our solution in a cost-effective manner, we may not be able to generate revenue growth.</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limited experience marketing and selling our solution. We currently rely on our direct sales force to sell our solution in targeted geographic regions and distributors in certain regions outside the United States, and any failure to maintain and grow our direct sales force will negatively affect our business, financial condition and results of operations. The members of our direct sales force are highly trained and possess substantial technical expertise, which we believe is critical in increasing adoption of our solution. The members of our U.S. sales force are at-will employees. The loss of these personnel to competitors, or otherwise, will negatively affect our business, financial condition and results of operations. If we are unable to retain our direct sales force personnel or replace them with individuals of equivalent technical expertise and qualifications, or if we are unable to successfully instill such technical expertise in replacement personnel, it may negatively affect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order to generate future growth, we plan to continue to expand and leverage our sales and marketing infrastructure to increase the number of customers and emphysema centers of excellence. Identifying and recruiting qualified sales and marketing personnel and training them on our solution, on applicable federal and state laws and regulations and on our internal policies and procedures requires significant time, expense and attention. It often takes several months or more before a sales representative is fully trained and productive. Our sales force may subject us to higher fixed costs than those of companies with competing techniques or products that utilize independent third parties, which could place us at a competitive disadvantage. It will negatively affect our business, financial condition and results of operations if our efforts to expand and train our sales force do not generate a corresponding increase in revenue, and our higher fixed costs may slow our ability to reduce costs in the face of a sudden decline in demand for our solution. Any failure to hire, develop and retain talented sales personnel, to achieve desired productivity levels in a reasonable period of time or timely reduce fixed costs, could negatively affect our business, financial condition and results of operations. Our ability to increase our customer base and achieve broader market acceptance of our solution will depend to a significant extent on our ability to expand our marketing efforts. We plan to dedicate significant resources to our marketing programs. It will negatively affect our business, financial condition and results of operations if our marketing efforts and expenditures do not generate a corresponding increase in revenue. In addition, we believe that developing and maintaining broad awareness of our solution in a cost-effective manner is critical to achieving broad acceptance of our solution and expanding domestically and internationally. Promotion activities may not generate patient or physician awareness or increase revenue, and even if they do, any increase in revenue may not offset the costs and expenses we incur in building our brand. If we fail to successfully promote, maintain and protect our brand, we may fail to attract or retain the physician acceptance necessary to realize a sufficient return on our brand building efforts, or to achieve the level of brand awareness that is critical for broad adoption of our solution.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have limited long-term data regarding the safety and effectiveness of our solution, including the Zephyr Valve.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Although we have demonstrated the safety, effectiveness and clinical advantages of our solution in multiple clinical trials in over 650 patients selected using the Chartis System, the Zephyr Valve is still a relatively new treatment for severe emphysema. The long-term effects of using our solution have been studied in a small number of patients, and these results do not necessarily predict long-term clinical benefits or reveal long-term adverse effects in the broader eligible population. The results of clinical trials of our solution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other patient populations.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and subsequently failed to obtain marketing approval. Products in later stages of clinical trials may fail to show the desired safety and efficacy despite having progressed through nonclinical studies and earlier clinical trials.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continuing development of our products depends upon our maintaining strong working relationships with physicians.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research, development, marketing and sale of our current products and potential new and improved products or future product indications for which we receive regulatory clearance, certification or approval depend upon our maintaining working relationships with physicians. We rely on these professionals to provide us with considerable knowledge and experience regarding the development, marketing and sale of our products. Physicians assist us in clinical trials and in marketing, and as researchers, product consultants and public speakers. If we cannot maintain our strong working relationships with these professionals and continue to receive their advice and input, the development and marketing of our products could suffer, which could negatively affect our business, financial condition and results of operations. At the same time, the medical device industry’s relationship with physicians is under increasing scrutiny by the U.S. Department of Health and Human Services Office of Inspector General (“OIG”), the U.S. Department of Justice (“DOJ”), the state attorneys general and other foreign and domestic government agencies. Our failure to comply with requirements governing the industry’s relationships with physicians or an investigation into our compliance by the OIG, the DOJ, state attorneys general and other government agencies, could negatively affect our business, financial condition and results of operations. Additional information regarding the laws impacting our relationships with physicians and other healthcare professionals can be found below under “Risks Related to Government Regulation and Our Industry.”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We rely on third parties to perform certain aspects of the CT scan analysis within the LungTraX Platform.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rely on third-party service providers to upload and analyze CT scan data on the LungTraX Platform. In order to make the LungTraX Platform available to physicians, we contract with a third-party cloud service. This third-party cloud service enables physicians to upload CT scan data while removing PHI of patients from that data. We also contract with additional third-party service providers to analyze the CT scan data using their proprietary software, and provide quantitative results via an easy-to-read StratX Lung Report. The StratX Lung Report is then made available to physicians in the third-party cloud service.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service is critical and there are relatively few alternatives. These third-party service providers may be unwilling or unable to provide the necessary services reliably and at the levels we anticipate or that are required by the market. While these third-party service providers have generally met our demand for their services on a timely basis in the past, we cannot guarantee that they will in the future be able to meet our demand for their services, either because of acts of nature, the nature of our agreements or potential disputes with those service providers or our relative importance to them as a customer, and our service providers may decide in the future to discontinue or reduce the level of business they conduct with us. If we are required to change service providers for any reason, including due to any change in or termination of our relationships with these third parties, we may lose sales, experience delays, incur increased costs or otherwise experience impairment to our customer relationships. We cannot guarantee that we will be able to establish alternative relationships on similar terms, without delay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depend on a limited number of single-source suppliers to manufacture our products, which makes us vulnerable to supply shortages and price fluctuations that could negatively affect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rely on single-source suppliers for the components, sub-assemblies and materials for our products. These components, sub-assemblies and materials are critical and there are no or relatively few alternative sources of supply. These single-source suppliers may be unwilling or unable to supply the necessary materials and components or manufacture and assemble our products reliably and at the levels we anticipate or that are required by the market. While our suppliers have generally met our demand for their products and services on a timely basis in the past, we cannot guarantee that they will in the future be able to meet our demand for their products, either because of acts of nature, the nature of our agreements with those manufacturers or our relative importance to them as a customer, and our suppliers may decide in the future to discontinue or reduce the level of business they conduct with us. If we are required to change suppliers due to any change in or termination of our relationships with these third parties, or if our suppliers are unable to obtain the materials they need to produce our products at consistent prices or at all, we may lose sales, experience manufacturing or other delays, incur increased costs or otherwise experience impairment to our customer relationships. We cannot guarantee that we will be able to establish alternative relationships on similar terms, without delay or at all.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not qualified or obtained necessary regulatory approvals for additional suppliers for most of these components, sub-assemblies and materials, and we do not carry a significant inventory of these items. While we believe that alternative sources of supply may be available, we cannot be certain whether they will be available if and when we need them, or that any alternative suppliers would be able to provide the quantity and quality of components and materials that we would need to manufacture our products if our existing suppliers were unable to satisfy our supply requirements. To utilize other supply sources, we would need to identify and qualify new suppliers to our quality standards and obtain any additional regulatory approvals required to change suppliers, which could result in manufacturing delays and increase our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Although we require our third-party suppliers to supply us with components that meet our specifications and comply with applicable provisions of the FDA’s Quality Management System Regulation (“QMSR”) and other applicable legal and regulatory requirements in our agreements and contracts, and we perform incoming inspection, testing or other acceptance activities to ensure the components meet our requirements, there is a risk that our suppliers will not always act consistent with our best interests, and may not always supply components that meet our requirements or supply components in a timely manner.</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have limited experience manufacturing our products in significant commercial quantities and we face manufacturing risks that may adversely affect our ability to manufacture our products, reduce our gross margins and negatively affect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business strategy depends on our ability to manufacture our current and future products in sufficient quantities and on a timely basis to meet customer demand, while adhering to product quality standards, complying with regulatory quality system requirements and managing manufacturing costs. We have a facility located in Redwood City, California, where we assemble, inspect, package, release and ship our products. We currently produce the Zephyr Valve and Chartis System at this facility, and we do not have redundant facilities. We also store finished goods at secondary facilities in Redwood City, California, Memphis, Tennessee and the Netherlands. If these facilities suffer damage, or a force majeure event, this could materially impact our ability to operate.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also subject to numerous other risks relating to our manufacturing capabilities, including: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quality and reliability of components, sub-assemblies and materials that we source from third-party suppliers, that are required to meet our quality specifications, many of whom are our single source suppliers for the products they supply;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inability to secure components, sub-assemblies and materials in a timely manner, in sufficient quantities or on commercially reasonable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inability to maintain compliance with quality system requirements or pass regulatory quality inspections;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disruptions in our production schedule and ability to manufacture and assemble products;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failure to increase production capacity or volumes to meet demand;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inability to design or modify production processes to enable us to produce future products efficiently or implement changes in current products in response to design or regulatory requirements;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difficulty identifying and qualifying, and obtaining new regulatory approvals, for alternative suppliers for components in a timely manner.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These risks are likely to be exacerbated by our limited experience with our current products and manufacturing processes. As demand for our solution increases, we will have to invest additional resources to purchase components, sub-assemblies and materials, hire and train employees and enhance our manufacturing processes. If we fail to increase our production capacity efficiently, we may not be able to fill customer orders on a timely basis, our sales may not increase in line with our expectations and our operating margins could fluctuate or decline. In addition, even if future products in development share product features, components, sub-assemblies and materials with our existing products, the manufacture of these products may require modification of our current production processes or unique production processes, the hiring of specialized employees, the identification of new suppliers for specific components, sub-assemblies and materials or the development of new manufacturing technologies. It may not be possible for us to manufacture these products at a cost or in quantities sufficient to make these products commercially viable or to maintain current operating margins, all of which will negatively affect our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our information technology systems or data, or those of third parties with whom we work, are or were compromised, we could experience adverse impacts resulting from such compromise, including, but not limited to, interruptions to our operations such as to our LungTraX Platform services or our clinical trials, claims that we breached our data protection obligations, harm to our reputation, business operations, and financial condition, as well as a loss of customers or sales.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or the third parties with whom we work, collect, store, receive, generate, use, transfer, disclose, make accessible, share, protect, secure, dispose of or transmit (collectively, “process”) proprietary, confidential, and sensitive data (including but not limited to intellectual property, proprietary business information and personal data).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rely extensively on information technology (“IT”) systems, networks and services, including internet sites, data hosting and processing facilities and tools, physical security systems and other hardware, software and technical applications and platforms, some of which are managed, hosted, provided or used by third parties or their vendors, to assist in conducting our business. Our ability to monitor these third parties’ information security practices is limited, and these third parties may not have adequate information security measures in place. A third party with whom we work has experienced a security incident that affected us, and other such third parties may experience incidents that could affect us in the future. In January 2025, Intelerad Medical Systems, a third party that provides CT scan transfer and storage services and PACS gateway connection services for our LungTraX Platform, notified us that it was affected by a security incident. The vulnerability affected Intelerad’s vendor, SimpleHelp, which offers certain remote support services. Our applications development and internal IT teams investigated the incident and concluded that it did not impact our account or the LungTraX network.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Although we have implemented policies and procedures designed to ensure compliance with applicable data privacy and information security laws and regulations and we take measures to protect sensitive information from unauthorized access or disclosure, there can be no assurance that these measures will be effective. We take steps designed to detect, mitigate, and remediate vulnerabilities in our IT systems (such as our hardware and/or software, including that of third parties with whom we work). However, we have not in the past, and may not in the future, detect and remediate all such vulnerabilities including on a timely basis. Unremediated high risk or critical vulnerabilities pose material risks to our business. Further, we have in the past, and may in the future, experienced delays in developing and deploying remedial measures and patches designed to address identified vulnerabilities. Our IT and infrastructure, and other third parties with whom we work, including technology partners and providers, face and may be vulnerable to a variety of evolving threats, including but not limited to social 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credential harvesting, ransomware attacks, software bugs, server malfunction, software or hardware failures, loss of data or other information technology assets, adware, telecommunications failures, earthquakes, fire, flood, attacks enhanced or facilitated by AI, and other similar threats. In addition to traditional computer “hackers,” threat actors, “hacktivists,” organized criminal threat actors, personnel misconduct or error (such as theft or misuse), sophisticated nation-state and nation-state supported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operations and supply chain.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Ransomware attacks, including those perpetrated by organized criminal threat actors, nation-states, and nation-state supported actors, are becoming increasingly prevalent and severe and can lead to significant interruptions in our operations, loss of data and income, reputational harm, and diversion of funds. To alleviate the financial, operational and reputational impact of a ransomware attack, it may be preferable to make extortion payments, but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of or disruption to our platform, systems and networks or the systems and networks of third parties that support us and our services.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Any of the previously identified or similar threats have in the past and may in the future cause a security incident or other interruption that have in the past or may in the future result in unauthorized, unlawful, or accidental acquisition, modification, destruction, loss, alteration, encryption, disclosure of, or access to our sensitive information or our information technology systems, or those of the third parties with whom we work. Although the aggregate impact of security incidents on our operations and financial condition has not been material to date, we have occasionally been the target of events of this nature and expect them to continue as security threats have been rapidly evolving in sophistication and becoming more prevalent in the industry. For example, we have been the target of unsuccessful phishing attempts in the past and expect such attempts will continue in the future. Additionally, the Company launched the LungTraX Platform in 2024 which involves the processing of patient PHI in the Company-managed system in our capacity as a Business Associate (as defined by the Health Insurance Portability and Accountability Act of 1996 (“HIPAA”)), the unintended release of which could have additional material adverse impacts on the Company financially and reputationally. Advances in computer capabilities, new technological discoveries or other developments may result in cyberattacks becoming more sophisticated and more difficult to detect. We and our third-party service providers may not have the resources or technical sophistication to anticipate or prevent all such cyberattacks. Moreover, techniques used to obtain unauthorized access to systems or other information technology infrastructure change frequently and may not be detected until after an incident has occurred. We are investing in protections and monitoring practices related to our data and IT to reduce these risks and continue to monitor our systems on an ongoing basis for any current or potential threats. However, 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 We may expend significant resources or modify our business activities (including our clinical trial activities) to try to protect against security incidents. Certain data privacy and information security obligations may require us to implement and maintain specific security measures or industry-standard or reasonable security measures to protect our information technology systems and sensitive information. We cannot assure you that our efforts will prevent breakdowns or breaches to our or our third-party providers’ databases or systems, and such breakdowns and breaches could negatively affect our business, financial condition and results of operations and our reputation.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or the third parties with whom we work have in the past experienced, and may in the future experience, security incidents, or we may be perceived to have experienced, security incidents, we may experience material adverse consequences such as: government enforcement actions that could include investigations, fines, penalties, consent decrees, audits and inspections; additional reporting requirements and/or oversight; temporary or permanent bans on all or some processing of personal data; or orders to destroy or not use personal data. Applicable data privacy and information security obligations may require us, or we may voluntarily choose, to notify relevant stakeholders, including affected individuals, customers, regulators, and investors of security incidents. Such disclosures and related actions can be costly, and the disclosures or the failure to comply with such applicable requirements, could lead to adverse consequences. Further, individuals or other relevant stakeholders could sue us for our actual or perceived failure to comply with our security obligations, including, without limitation, in class action litigation. Security incidents could also result in indemnity obligations, negative publicity and financial loss.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Security incidents and attendant consequences may cause some of our customers and users to stop using our services and our failure, or perceived failure, to meet expectations with regard to the security, integrity, availability and confidentiality of our systems and sensitive data could damage our reputation and affect our ability to retain customers, attract new customers and grow our business. Any of these results could harm our growth prospects, our business and our reputation. Moreover, security incidents can result in the diversion of funds, and interruptions, delays, or outages in our operations and services, including due to ransomware attacks. Failures or significant downtime of our information technology or telecommunication systems or those used by our third-party service providers could cause significant interruptions to our operations and adversely impact the confidentiality, integrity and availability of sensitive, proprietary or confidential information, and prevent us from administering our business. There can be no assurance that limitations of liability in our contracts are sufficient or adequate enough to protect us from liabilities, damages, or claims related to our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could be leaked, disclosed, or revealed as a result of or in connection with our employees’, personnel’s, or vendors’ use of generative artificial intelligence (“AI”) technologies.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While we have implemented security measures designed to protect against security incidents, there can be no assurance that these measures will be effective. The reliability and continuous availability of our LungTraX Platform is critical to our success. However, software such as ours, or that of third parties that we utilize within the LungTraX Platform, can contain errors, defects, security vulnerabilities or software bugs that are difficult to detect and correct, particularly when such vulnerabilities are first introduced or when new versions or enhancements of our platform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released. The LungTraX Platform is a new service for us and we have limited experience installing and managing this platform and the services that we render though this platform. We have not and may not detect and remediate all such vulnerabilities including on a timely basis. Additionally, even if we are able to develop a patch or other fix to address such vulnerabilities, such fix may be difficult to push out to our customers or may otherwise be delayed. Additionally, our business employs a shared responsibility model where our customers are responsible for using, configuring, and otherwise implementing security measures related to our platform in a manner that meets applicable cybersecurity standards, complies with laws, and addresses their information security risk. If our customers fail to use our platform according to our specifications, our customers may suffer a security incident on their own systems or other adverse consequences. Even if we are not the cause of the resulting customer security issue or incident and such an incident is unrelated to our security practices, we could incur significant economic and operational costs in investigating, remediating, and implementing additional measures to further protect our customers from their own vulnerabilities, and it could result in reputational harm.</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results of operations will be materially harmed if we are unable to accurately forecast customer demand for our solution and manage our inventory.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ensure adequate inventory supply, we must forecast inventory needs and manufacture the Zephyr Valve and Chartis System based on our estimates of future demand for our solution. Our ability to accurately forecast demand for our solution could be negatively affected by many factors, including our failure to accurately manage our expansion strategy, product introductions by competitors, an increase or decrease in customer demand for our solution or for products of our competitors, our failure to accurately forecast customer acceptance of new products,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our solution, our internal manufacturing team may not be able to deliver products to meet our requirements, and this could result in damage to our reputation and customer relationships. In addition, if we experience a significant increase in demand, additional supplies of raw materials or additional manufacturing capacity may not be available when required on terms that are acceptable to us, or at all, or suppliers or may not be able to allocate sufficient capacity in order to meet our increased requirements, which will negatively affect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seek to maintain sufficient levels of inventory in order to protect ourselves from supply interruptions. As a result, we are subject to the risk that a portion of our inventory will become obsolete or expire, which could have a material adverse effect on our earnings and cash flows due to the resulting costs associated with the inventory impairment charges and costs required to replace such inventory.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operating results may fluctuate significantly, which makes our future operating results difficult to predict and could cause our operating results to fall below expectations or any guidance we may provide.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quarterly and annual operating results may fluctuate significantly, which makes it difficult for us to predict our future operating results. Accordingly, the results of any one quarter or period should not be relied upon as an indication of future performance. Our quarterly and annual operating results may fluctuate as a result of a variety of factors, many of which are outside our control and, as a result, may not fully reflect the underlying performance of our business. These fluctuations may occur due to a variety of factors, many of which are outside of our control, including, but not limited to: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level of demand for our products and any future products, which may vary significantly;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expenditures that we may incur to acquire, develop or commercialize additional products and technologies;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timing and cost of obtaining regulatory approvals, certification or clearances for planned or future products or indications;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unanticipated pricing pressures;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rate at which we grow our sales force and the speed at which newly hired salespeople become effective, and the cost and level of investment therein;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ability to expand the geographic reach of our sales force;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rate at which treating centers expand procedural capacity as they build a bronchoscopic lung volume reduction program;</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degree of competition in our industry and any change in the competitive landscape of our industry, including consolidation among our competitors or future partners;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coverage and reimbursement policies with respect to our products, and potential future products that compete with our products;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timing and success or failure of pre-clinical studies or clinical trials for our products or any future products we develop or competing products;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positive or negative coverage in the media or clinical publications of our products or products of our competitors or our industry;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timing of customer orders or medical procedures using our products and the number of available selling days in any quarterly period, which can be impacted by holidays, the mix of products sold and the geographic mix of where products are sold, including any related foreign currency impact;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seasonality, including possible seasonal slowing of demand for our products in the beginning and end of the year and summer months based on the elective nature of procedures performed using our products, and which may become more pronounced in the future as our business grows;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impact of a public health crisis on our business, financial condition and results of operations;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timing and cost of, and level of investment in, research, development, licenses, regulatory approval, commercialization activities, acquisitions and other strategic transactions, or other significant events relating to our products, which may change from time to time;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the cost of manufacturing our products, which may vary depending on the quantity of production and the terms of our agreements with third-party suppliers and manufacturers which are subject to macroeconomic factors including fluctuating inflation and interest rates, as well as tariffs, the threat of new or increased tariffs, trade disputes and escalating trade tensions, and changes in trade agreements;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number of patients treated with Zephyr Valves, including the average number of Zephyr Valves used for a patient, pricing, discounts and incentives;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future accounting pronouncements or changes in our accounting policies.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cumulative effects of these factors could result in large fluctuations and unpredictability in our quarterly and annual operating results. As a result, comparing our operating results on a period-to-period basis may not be meaningful. Further, our historical results are not necessarily indicative of results expected for any future period, and quarterly results are not necessarily indicative of the results to be expected for the full year or any other period, and accordingly should not be relied upon as indicative of future performance.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it will negatively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sizes of the markets for our current and future products have not been established with precision and may be smaller than we estimate and may decline. Certain patients may not have regions of the lung with little to no collateral ventilation, making them poor candidates for the Zephyr Valve. In addition, if the overall rate of smokers continues to decline, this may eventually decrease the number of patients suffering from COPD and emphysema and, accordingly, who would benefit from our solution.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Our estimates of the annual total addressable markets for our current solution and products under development are based on a number of internal and third-party estimates, including, without limitation, the number of patients with severe emphysema treatable by our solution and the assumed prices at which we can sell our solution in markets that have not yet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example, certain of these patients may not have regions of the lung with little to no collateral ventilation, making them poor candidates for the Zephyr Valve. As a result, our estimates of the annual total addressable market for our current or future products may prove to be incorrect.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Further, cigarette smoking is one of the leading causes of COPD and emphysema. It is estimated that smoking accounts for as many as 80% of COPD-related deaths and 38% of the nearly 16 million adults in the United States diagnosed with COPD report being current smokers. The overall rate of smoking among the U.S. adult population has been steadily declining from 42.4% in 1965 to 11.6% in 2022 and there are increased efforts to decrease the rate of smoking globally. If the overall rate of smokers continues to decline, this may eventually decrease the number of patients suffering from COPD and emphysema and, accordingly, who would benefit from our solution.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the actual number of patients who would benefit from our solution, the price at which we can sell future products, or the annual total addressable market for our solution is smaller than we have estimated, it may impair our sales growth and negatively affect our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Failure of our information technology system, process, or site, or those of the third parties with whom we work, could negatively affect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depend on our information technology systems for the efficient functioning of our business, including the manufacture, distribution, and maintenance of our products, as well as for accounting, data storage, compliance, purchasing, and inventory management. We also depend on the information technology systems of third parties for the analysis, data storage, and communication associated with the LungTraX Platform. Our information technology systems, and those of the third parties with whom we work, have in the past been subject to and may in the future be subject to, or we may be perceived as having been subject to, security incidents. These security incidents may include computer viruses, ransomware or other malware, attacks by computer hackers, failures during the process of upgrading or replacing software, databases or components thereof, power outages, damage or interruption from fires or other natural disasters, hardware failures, telecommunication failures and user errors, among other malfunctions. We, and the third parties we rely upon, have in the past been subject to and may in the future be subject to an unintentional event that involves a third party gaining unauthorized access to our or our third parties’ systems, which could disrupt our operations, corrupt our data or result in release of our sensitive information. Technological interruptions could disrupt our operations, including our ability to timely ship and track product orders, project inventory requirements, manage our supply chain and otherwise adequately service our customers or disrupt our customers’ ability use our products for treatments.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Moreover, a disruption in access to the system that controls the LungTraX Platform would prevent physicians using our solution from receiving the StratX Lung Report indicating whether their patients are good candidates for the Zephyr Valve. In the event we experience significant disruptions, we may be unable to repair our systems in an efficient and timely manner. Accordingly, such events may disrupt or reduce the efficiency of our entire operation and negatively affect our business, financial condition, and results of operations. Currently, we carry business interruption coverage and cyber insurance to mitigate certain potential losses but this insurance is limited in amount, and we cannot be certain that such potential losses will not exceed our policy limits. We are increasingly dependent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complex information technology to manage our infrastructure. Our information systems require an ongoing commitment of significant resources to maintain, protect and enhance our existing systems. Failure to maintain or protect our information systems and data integrity effectively could negatively affect our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Litigation against us could be costly and time-consuming to defend and could result in additional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may from time to time be subject to legal proceedings and claims that arise in the ordinary course of business or otherwise, such as claims brought by our customers in connection with commercial disputes and employment claims made by our current or former employees. Claims may also be asserted by or on behalf of a variety of other parties, including government agencies, patients or vendors of our customers, or stockholders. Further, in the past, securities class action litigation has often been brought against a company following a decline in the market price of its securities, and this risk is especially relevant to industries that experience significant stock price volatility. Any litigation involving us may result in substantial costs, operationally restrict our business, and may divert management’s attention and resources, which may negatively affect our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face the risk of product liability claims that would be expensive, divert management’s attention and harm our reputation and business. We may not be able to maintain adequate product liability insurance.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business exposes us to the risk of product liability claims that are inherent in the testing, manufacturing and marketing of medical devices. This risk exists even if a device is cleared or approved for commercial sale by the FDA and manufactured in facilities licensed and regulated by the FDA or an applicable foreign regulatory authority. The Zephyr Valve is designed to affect, and any future products will be designed to affect, important bodily functions and processes. Any side effects, manufacturing defects, misuse or abuse associated with the Zephyr Valve could result in patient injury or death. The medical device industry has historically been subject to extensive litigation over product liability claims, and we cannot offer any assurance that we will not face product liability suits. There were procedure-related deaths in our LIBERATE Study and we may be subject to product liability claims if the Zephyr Valve causes, or merely appears to have caused, patient injury or death. In addition, an injury that is caused by the activities of our suppliers, such as those who provide us with components and raw materials, may be the basis for a claim against us. Product liability claims may be brought against us by patients, physicians, or others selling or otherwise coming into contact with the Zephyr Valve, among others. If we cannot successfully defend ourselves against product liability claims, we will incur substantial liabilities and reputational harm. In addition, regardless of merit or eventual outcome, product liability claims may result in: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costs of litigation;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distraction of management’s attention from our primary business;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the inability to commercialize our solution or new products;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decreased demand for our products;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damage to our business reputation;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product recalls or withdrawals from the market;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withdrawal of clinical trial participants;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substantial monetary awards to patients or other claimants; or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loss of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While we may attempt to manage our product liability exposure by proactively recalling or withdrawing from the market any defective products, any recall or market withdrawal of our products may delay the supply of those products to our customers and may impact our reputation. We can provide no assurance that we will be successful in initiating appropriate market recall or market withdrawal efforts that may be required in the future or that these efforts will have the intended effect of preventing product malfunctions and the accompanying product liability that may result. Such recalls and withdrawals may also be used by our competitors to harm our reputation for safety or be perceived by patients as a safety risk when considering the use of our solution, either of which could negatively affect our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insurance policies are expensive and protect us only from some business risks, which leaves us exposed to significant uninsured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do not carry insurance for all categories of risk that our business may encounter. Although we have product liability and clinical study liability insurance that we believe is appropriate, this insurance is subject to deductibles and coverage 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recall or other claim with respect to uninsured liabilities or for amounts in excess of insured liabilities could negatively affect our business, financial condition and results of operations. We do not carry specific hazardous waste insurance coverage, and our property, casualty and general liability insurance policies specifically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could be suspended. Currently, we carry business cyber insurance to mitigate certain potential losses but this insurance is limited in amount, and we cannot be certain that such potential losses will not exceed our policy limits, which may expose us to certain potential losses for damages or result in penalization with fines in an amount exceeding our resources.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indebtedness may limit our flexibility in operating our business and negatively affect our business, financial condition, results of operations and competitive position.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March 2, 2026, we entered into a Credit Agreement and Guaranty (the “Perceptive Agreement”) with the subsidiary guarantors party thereto from time to time, the lenders party thereto from time to time, and Perceptive Credit Holdings V, LP (“Perceptive”), as the initial lender, administrative agent and collateral agent, under which we have borrowed $40.0 million in debt financing as of June 30, 2026. See the section entitled “Management’s Discussion and Analysis of Financial Condition and Results of Operations - Liquidity and Capital Resources; Plan of Operation - Perceptive Loan” and the notes to our unaudited interim condensed consolidated financial statements included elsewhere in this Quarterly Report on Form 10-Q.</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We cannot assure you that our business will be able to generate sufficient cash flow from operations or that future borrowings or other financings will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capital expenditures or other general corporate purposes, we will be less able to plan for, or react to, changes in our business, industry and in the economy generally. This will place us at a competitive disadvantage compared to our competitors that have less indebtedness.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the Perceptive Agreement contains, and any agreements evidencing or governing other future indebtedness may contain, certain covenants that limit our ability to engage in certain transactions that may be in our long-term best interests. Subject to certain limited exceptions, these covenants limit our ability to, among other things: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convey, sell, lease, transfer, assign, dispose of or otherwise make cash payments consisting of all or any part of our business or property;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effect certain changes in our business, management, ownership or business locations;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merge or consolidate with, or acquire all or substantially all of the capital stock or assets of, any other company;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create, incur, assume, be liable for or make payments on any additional indebtedness, or create, incur, allow or permit to exist any additional liens;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pay cash dividends on, make any other distributions in respect of, or redeem, retire or repurchase, any shares of our capital stock;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make certain investments;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enter into transactions with our affiliates.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can be no guarantee that we will not breach these covenants. Our ability to comply with these covenants may be affected by events and factors beyond our control. In the event that we breach one or more covenants, our lender may choose to declare an event of default and require that we immediately repay all amounts outstanding, terminate any commitment to extend further credit and foreclose on the collateral granted to it to collateralize such indebtedness. The occurrence of any of these events could negatively affect our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industry is highly competitive, and we may not be able to compete successfully with larger companies, companies with longer operating histories or more established products, or companies with greater resources.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industry is subject to rapid change from the introduction of new products and technologies and other activities of industry participants. There are a range of pharmaceutical and biologic agents on the market to manage COPD and emphysema symptoms. New product introductions may lead some patients to become less symptomatic and no longer seek additional treatment or may delay referrals as physicians attempt an additional drug treatment before referring for a procedure.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Our goal is to establish our solution as a standard of care for severe emphysema. Existing treatments include medical management, LVRS, lung transplantation as well as other minimally invasive treatments. The primary competitive products include the Spiration Valve System (Olympus Corporation) and the InterVapor System (Broncus Medical, Inc.; not approved for use in the United States). The Spiration Valve System is an endobronchial technology designed to offer patients with severe emphysema a minimally invasive treatment option for lung volume reduction by redirecting air away from diseased areas of the lung to healthier tissue so that patients may breathe easier. Like Zephyr Valves, the Spiration Valve System is indicated to treat patients with heterogeneous emphysema; however, the Spiration Valve System is contraindicated for patients with homogeneous emphysema. The InterVapor System offers a non-surgical and non-implant therapy developed for lung disease including emphysema and lung cancer where vapor ablation is simply the application of heated pure water to tissue. These technologies, other products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are in current clinical trials, new drugs or additional indications for existing drugs could demonstrate better safety, effectiveness, clinical results, lower costs or greater physician and patient acceptance.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compete, or may compete in the future, against other companies which have longer operating histories, more established products and greater resources, which may prevent us from achieving significant market penetration or improved operating results. These companies enjoy several competitive advantages, including established relationships with pulmonologists who commonly treat patients with emphysema, significantly greater name recognition and significantly greater sales and marketing resources.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to existing competitors, other larger and more established companies may acquire or in-license competitive products and could directly compete with us. These competitors may also try to compete with us on price both directly, through rebates and promotional programs to high volume physicians and coupons to patients, and indirectly, through attractive product bundling with complementary products that offer convenience and an effectively lower price compared to the total price of purchasing each product separately. Larger competitors may also be able to offer greater customer loyalty benefits to encourage repeat use of their products and finance a sustained global advertising campaign to compete with commercialization efforts of our products. Our competitors may seek to discredit our products by challenging our short operating history or relatively limited number of scientific studies and publications. Smaller companies could also launch new or enhanced products and services that we do not offer and that could gain market acceptance quickly. Additionally, certain of our competitors may challenge our intellectual property, may develop additional competing or superior technologies and processes and compete more aggressively and sustain that competition over a longer period of time than we could. Our technologies and products may be rendered obsolete or uneconomical by technological advances or entirely different approaches developed by one or more of our competitors. As more companies develop new intellectual property in our market, there is the possibility of a competitor acquiring patents or other rights that may limit our ability to update our technologies and products which may impact demand for our products.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We have increased the size of our organization and expect to further increase it in the future. If we are unable to manage the anticipated growth, our business, financial condition and results of operations will be negatively affected.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Any growth that we experience in the future will require us to expand our sales personnel and manufacturing operations and general and administrative infrastructure. Future growth will impose significant added responsibilities on management, including the need to identify, recruit, train and integrate additional employees. Rapid expansion in personnel could mean that less experienced people manufacture, market and sell our solution, which could result in inefficiencies and unanticipated costs, reduced quality and disruptions to our operations. In addition, rapid and significant growth may strain our administrative and operational infrastructure. Our ability to manage our business and growth will require us to continue to improve our operational, financial and management controls, reporting systems and procedures. If we are unable to manage our growth effectively, it may be difficult for us to execute our business strategy and negatively affect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demand for our solution or any of our future products increases, we will need to continue to scale our capacity, expand customer service, billing and systems processes and enhance our internal quality assurance program. We cannot assure you that any increases in scale, related improvements and quality assurance will be successfully implemented or that appropriate personnel will be available to facilitate the growth of our business. Failure to implement necessary procedures, transition to new processes or hire the necessary personnel could result in higher costs of processing data or inability to meet increased demand. If we encounter difficulty meeting market demand, quality standards or physician expectations, our reputation will be harmed and negatively affect our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We expect to continue to incur net losses for the next several years and we expect to require substantial additional capital to finance our planned operations, which may include future equity and debt financings. This additional capital may not be available to us on acceptable terms or at all. Our failure to obtain additional financing when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needed on acceptable terms, or at all, could force us to delay, limit, reduce or eliminate our commercialization, sales and marketing efforts, product development programs or other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Since inception, we have incurred significant net losses and expect to continue to incur net losses for the foreseeable future. Since our inception, our operations have been financed primarily through the sale of equity securities, debt financing arrangements and sales of our products. As of June 30, 2026, we had $55.8 million in cash and cash equivalents, and an accumulated deficit of $545.3 million. Based on our current planned operations, we expect our cash and cash equivalents will enable us to fund our operating expenses for at least the next twelve months. We have based this estimate on assumptions that may prove to be wrong, and we could use our capital resources sooner than we currently expect.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expect to continue to make substantial investments in clinical trials that are designed to provide clinical evidence of the safety and efficacy of our solution. We intend to continue to make significant investments in our sales and marketing organization by increasing the number of U.S. sales territory managers and expanding our international sales and marketing programs to help promote awareness and increase adoption of our solution primarily among the pulmonologists performing interventional pulmonary procedures across approximately 500 high volume hospitals. In order to continue to grow our business, we will need to hire additional sales personnel to efficiently serve the market. We also expect to continue to make investments in research and development, regulatory affairs and clinical studies to develop future generations of our solution, broaden the addressable market and expand indications, support regulatory submissions and demonstrate the clinical efficacy of our solution. We continue to make progress with our CONVERT II pivotal trial of the AeriSeal System, a potential product in development for the treatment of severe emphysema patients who are not qualified for Zephyr Valve treatment due to excessive collateral ventilation. Moreover, we expect to incur additional expenses associated with operating as a public company, including legal, accounting, insurance, exchange listing and Securities and Exchange Commission (“SEC”) compliance, investor relations and other expenses. Because of these and other factors, we expect to continue to incur substantial net losses and negative cash flows from operations for the foreseeable future. Our future capital requirements will depend on many factors, including: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cost, timing and results of our clinical trials and regulatory reviews;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cost and timing of establishing sales, marketing and distribution capabilities;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terms and timing of any other collaborative, licensing and other arrangements that we may establish;</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timing, receipt and amount of sales from our current solution and potential future products;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degree of success we experience in continuing to commercialize our solution;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emergence of competing or complementary technologies;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cost of preparing, filing, prosecuting, maintaining, defending and enforcing any patent claims and other intellectual property rights;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extent to which we acquire or invest in businesses, products or technologies, although we currently have no commitments or agreements relating to any of these types of transactions;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impact of public health crises on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may require additional financing to fund working capital and pay our obligations. We may seek to raise any necessary additional capital through a combination of public or private equity offerings or debt financings. There can be no assurance that we will be successful in acquiring additional funding at levels sufficient to fund our operations or on terms favorable to us. If adequate funds are not available on acceptable terms when needed, we may be required to significantly reduce operating expenses, which may negatively affect our business, financial condition and results of operations. If we do raise additional capital through public or private equity or convertible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Additional capital may not be available on reasonable terms, or at all.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the quality of our solution does not meet the expectations of physicians or patients, then our business and reputation may be harmed.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course of conducting our business, we must adequately address quality issues that may arise with our solution, including defects in third-party components included in our solution. Although we have established internal procedures designed to minimize risks that may arise from quality issues, there can be no assurance that we will be able to eliminate or mitigate occurrences of these issues and associated liabilities. In addition, even in the absence of quality issues, we may be subject to claims and liability if the performance of the Zephyr Valves does not live up to the expectations of physicians or patients as a result of the physician’s implantation of the valve. For example, a physician may improperly implant the Zephyr Valve. If the quality of our solution does not meet the expectations of physicians or patients, then our business and reputation with those physicians or patients may negatively affect our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our facilities become damaged or inoperable, we will be unable to continue to research, develop and supply our solution which could negatively affect our business, financial condition and results of operations until we are able to secure a new facility and rebuild our inventory.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do not have redundant facilities. We perform substantially all of our manufacturing, research and development and back office activity in a single location at our headquarters in Redwood City, California. We store our finished goods inventory at our headquarters and secondary facilities in Redwood City, California, Memphis, Tennessee, and the Netherlands. Our facilities, equipment and inventory would be costly to replace and could require substantial lead time to repair or replace. The facilities will be harmed or rendered inoperable by natural or man-made disasters, including, but not limited to, earthquakes, flooding, fire and power outages, which may render it difficult or impossible for us to perform our research, development and commercialization activities for some period of time. The inability to perform those activities, combined with the time it may take to rebuild our manufacturing capabilities, inventory of finished product, may result in the loss of customers or harm to our reputation. Although we possess insurance for damage to our property and the disruption of our business, this insurance may not be sufficient to cover all of our potential losses and this insurance may not continue to be available to us on acceptable terms, or at all.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Performance issues, service interruptions or price increases by our shipping carriers could negatively affect our business, financial condition and results of operations and harm our reputation and the relationship between us and the hospitals with which we work.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Expedited, reliable shipping is essential to our operations. We rely heavily on providers of transport services for reliable and secure point-to-point transport of the Zephyr Valve and Chartis System to our customers and for tracking of these shipments. Should a carrier encounter delivery performance issues such as loss, damage or destruction of any systems, it would be costly to replace such systems in a timely manner and such occurrences may damage our reputation and lead to decreased demand for our solution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process orders for the Zephyr Valve on a timely basis.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depend on our senior management team and the loss of one or more key employees or an inability to attract and retain highly skilled employees will negatively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our continued ability to attract, retain and motivate highly qualified management, clinical and other personnel. We are highly dependent upon our management team, particularly our Chief Executive Officer, the rest of our senior management, and other key personnel. From time to time, there have been and may in the future be changes in our management team or other key employees resulting from the hiring or departure of these personnel. For example, in October 2025, we announced that Steven Williamson resigned as President and Chief Executive Officer and as a member of our board of directors and that Mehul Joshi resigned as Chief Financial Officer. We also announced that Glendon E. French would return as the Company’s President and Chief Executive Officer and Derrick Sung, Ph.D. would rejoin the Company as our Chief Operating Officer and Chief Financial Officer. The failure to successfully execute this leadership transition could negatively impact our business and results of operations. Although we have entered into employment letter agreements with our executive officers, each of them may terminate their employment with us at any time. The replacement of any of our key personnel likely would involve significant time and costs and may significantly delay or prevent the achievement of our business objectives and could therefore negatively affect our business, financial condition and results of operations. In addition, we do not carry any key person insurance policies that could offset potential loss of service under applicable circumstances.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research and development programs and clinical operations depend on our ability to attract and retain highly skilled engineers and medical researchers. We may not be able to attract or retain qualified engineers and medical researchers in the future due to the competition for qualified personnel. We have from time to time experienced, and we expect to continue to experience, difficulty in hiring and retaining employees with appropriate qualifications. Many of the companies with which we compete for experienced personnel have greater resources than us. If we hire employees from competitors or other companies, their former employers may attempt to assert that these employees or we have breached legal obligations, resulting in a diversion of our time and resources and, potentially, damages.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Further, job candidates and existing employees, particularly in the San Francisco Bay Area, often consider the value of the stock awards they receive in connection with their employment. If the perceived value of our stock awards declines, it may harm our ability to recruit and retain highly skilled employees. Many of our employees have become or will soon become vested in a substantial amount of our common stock or a number of common stock options. Our employees may be more likely to leave us if the shares they own have significantly depreciated in value relative to the original purchase prices of the shares, or if the exercise prices of the options that they hold are significantly above the market price of our common stock. Our future success also depends on our ability to continue to attract and retain additional executive officers and other key employees. If we fail to attract new personnel or fail to retain and motivate our current personnel, it will negatively affect our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have significant international operations, and to successfully market and sell our products in such international markets we must address international business risks with which we have limited experience.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Sales in markets outside of the United States accounted for approximately 36.7% and 37.6% of our revenue for the six months ended June 30, 2026 and June 30, 2025, respectively. We currently focus our international sales and marketing efforts in Australia, Austria, Belgium, China, Denmark, France, Germany, Ireland, Italy, Japan, the Netherlands, Spain, Sweden, Switzerland and the United Kingdom. International sales are subject to a number of risks, including: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difficulties in staffing and managing our international operations;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increased competition as a result of more products and procedures receiving regulatory approval or otherwise free to market in international markets;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impacts of tariffs, the threat of new or increased tariffs, trade disputes, escalating trade tensions, and changes in trade agreements;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longer accounts receivable payment cycles and difficulties in collecting accounts receivable;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reduced or varied protection for intellectual property rights in some countries;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export restrictions, trade regulations and foreign tax laws;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fluctuations in currency exchange rates;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foreign certification and regulatory clearance or approval requirements;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difficulties in developing effective marketing campaigns in unfamiliar foreign countries;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customs clearance and shipping delays;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political, social, and economic instability abroad, including as a result of armed conflict, war or the threat of war, terrorist activity and other security concerns in general;</w:t>
      </w:r>
    </w:p>
    <w:p>
      <w:pPr>
        <w:pStyle w:val="TextBody"/>
        <w:bidi w:val="0"/>
        <w:spacing w:lineRule="auto" w:line="268" w:before="0" w:after="240"/>
        <w:ind w:left="0" w:right="0" w:hanging="360"/>
        <w:jc w:val="left"/>
        <w:rPr/>
      </w:pPr>
      <w:r>
        <w:rPr>
          <w:color w:val="000000"/>
        </w:rPr>
        <w:t>•</w:t>
      </w:r>
      <w:r>
        <w:rPr>
          <w:rFonts w:ascii="Times New Roman;serif" w:hAnsi="Times New Roman;serif"/>
          <w:b w:val="false"/>
          <w:color w:val="000000"/>
          <w:sz w:val="20"/>
        </w:rPr>
        <w:t>the impact of public health crises;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preference for locally produced products;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potentially adverse tax consequences, including the complexities of foreign value-added tax systems, tax inefficiencies related to our corporate structure, and restrictions on the repatriation of earnings;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differing payment and reimbursement regimes;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the burdens of complying with a wide variety of foreign laws and different legal standards; and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increased financial accounting and reporting burdens and complexities.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public health crisis could adversely affect the economies and financial markets worldwide, resulting in an economic downturn that could affect demand for our products and impact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one or more of these risks are realized, they may negatively affect our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enter into collaborations, in-licensing arrangements, joint ventures, strategic alliances or partnerships with third parties that may not result in the development of commercially viable products, product improvements or the generation of significant future revenues.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ordinary course of our business, we may enter into collaborations, in-licensing arrangements, joint ventures, strategic alliances, partnerships or other arrangements to develop new products or product improvements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viable product improvements or result in significant revenues and could be terminated prior to developing any products.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Significant changes or developments in U.S. and international laws or policies, including changes in U.S. trade policies and tariffs and the reaction of other countries thereto, could have a material adverse effect on our business and financial condition.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in a global economy, which includes utilizing third-party suppliers in several countries outside the U.S.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announced substantial new tariffs affecting a wide range of products and jurisdictions and has indicated an intention to continue developing new trade policies. In response, certain foreign governments have announced or implemented retaliatory tariffs and other protectionist measures.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Because we rely on a global sourcing strategy and significant international sales, significant changes or developments in U.S. and international laws and policies, such as laws and policies surrounding international trade, foreign affairs, manufacturing and development and investment in the territories and countries where we or our customers operate, could increase our costs, increase our customers’ costs and adversely impact our customers’ business and financial condition, make our products less competitive in the U.S. and other markets affected by such actions, and materially adversely affect our business and financial condition. Current or future tariffs or other retaliatory trade measures may raise the costs of raw materials, components or finished goods, which may impact our product sales, manufacturing costs, and operational expenses. Such cost increases may reduce our margins or require us to increase prices. Any price increases could harm our competitive position, reduce customer demand and damage customer relationships. We may also experience supply chain disruptions as a result of increased costs and uncertainty.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Unlike many industries, our ability to pass increased costs to customers is limited by the structure of medical device pricing and reimbursement systems. Many of our products’ pricing are established through annual or multi-year contracts with commercial, third-party payors, customers, and group purchasing organizations, and reimbursement methodologies established by government programs, such as Medicare. These arrangements typically include fixed pricing terms that were negotiated prior to the implementation of the recently announced tariffs. As a result, and depending on the timing and scope of the implementation of these tariffs, cost increases due to tariffs may be difficult or impossible to pass through to customers until the next negotiation cycle, which could be up to 36 months away.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Current or future tariffs will also result in increased research and development expenses, including with respect to increased costs associated with raw materials, laboratory equipment and research materials and components.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and negatively impact our business, results of operations, financial condition and growth prospects.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evolving trade environment may also contribute to broader macroeconomic and financial market weakness, including overall decreased spending, inflationary pressures affecting interest rates, exchange rate volatility, financial market instability, and economic recessions or downturns, which may result in decreased demand for our products, increased operational costs, difficulties raising capital, and limit expansion opportunities with existing customers. Ongoing tariff uncertainty and related legal challenges, as well as trade restrictions and macroeconomic uncertainty has and may continue to contribute to volatility in the price of our 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complexity of the announced or future tariffs may also increase the risk that we or our customers or suppliers may be subject to civil or criminal enforcement actions in the U.S. or foreign jurisdictions related to compliance with trade regulations. Foreign governments may also adopt non-tariff measures, such as informal disincentives to engage with, purchase from or invest in U.S. entities, or may take other retaliatory actions against U.S. entities, such as decreased intellectual property protection, increased enforcement actions, or delays in regulatory approvals, which may result in heightened international legal and operational risks. In addition, the U.S.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 We cannot predict how current or future developments in tariff and other trade policies will evolve and the extent to which they will affect our business, operations and financial condition.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Additionally, the Bureau of Industry and Security, U.S. Department of Commerce, has recently initiated an investigation to determine whether medical devices, including their components and accessories, manufactured outside the United States pose a national security risk and should be subject to additional tariffs. While we continue to monitor this investigation and the other developments described above, the full impact of these risks remains uncertain and any prolonged economic downturn, escalation in trade tensions, or deterioration in international perception of U.S.-based companies could materially and adversely affect our business, results of operations, financial condition and prospects. In addition, trade developments have and may continue to heighten the risks related to the other risk factors described elsewhere in this Quarterly Report on Form 10-Q.</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Unfavorable global economic conditions, including as a result of geopolitical conflict, could negatively affect our business, financial condition or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results of operations could be adversely affected by general conditions in the global economy and in the global financial markets. A severe or prolonged economic downturn, such as the global financial crisis of 2008, could result in a variety of risks to our business, including weakened demand for our solution, and our ability to raise additional capital when needed on acceptable terms, if at all. A weak or declining economy, including due to the impact of inflationary pressures, tariffs, trade disputes, escalating trade tensions and other political tensions between the U.S. and other countries, could also strain our suppliers, possibly resulting in supply disruption, or cause our customers to delay making payments for our services. Any of the foregoing will negatively affect our business, financial condition and results of operations and we cannot anticipate all of the ways in which the economic climate and financial market conditions could negatively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acquire other companies or technologies, which could divert our management’s attention, result in additional dilution to our stockholders and otherwise negatively affect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may in the future seek to acquire or invest in businesses, applications or technologies that we believe could complement or expand our current business, enhance our technical capabilities or otherwise offer growth opportunities. Accordingly, although we have no current commitments with respect to any acquisition or investment, we may in the future pursue the acquisition of, or joint ventures relating to, complementary businesses, applications or technologies instead of developing them ourselves.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will harm our operating results. In addition, if an acquired business fails to meet our expectations, it will negatively affect our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Consolidation in the healthcare industry or group purchasing organizations could lead to demands for price concessions, which may affect our ability to sell our products at prices necessary to support our current business strategies.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commercial payor industry is undergoing significant consolidation. When payors combine their operations, the combined company may elect to reimburse our products at the lowest rate paid by any of the participants in the consolidation or use its increased size to negotiate reduced rates. If one of the payors participating in the consolidation does not reimburse for the Zephyr Valve and our solution at all, the combined company may elect not to reimburse for the same, which would adversely impact our operating results.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long-term growth depends on our ability to enhance our solution, expand our indications and develop and commercialize additional products. If we fail to identify, acquire and develop other products, we may be unable to grow our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It is important to our business that we continue to enhance the Zephyr Valve, Chartis System and LungTraX Platform and develop and introduce new products. Developing products is expensive and time-consuming and could divert management’s attention away from our core business. The success of any new product offering or product enhancements to our solution will depend on several factors, including our ability to: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assemble sufficient resources to acquire or discover additional products;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properly identify and anticipate physician and patient needs;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develop and introduce new products and product enhancements in a timely manner;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avoid infringing upon the intellectual property rights of third parties;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demonstrate, if required, the safety and efficacy of new products with data from pre-clinical studies and clinical trials;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obtain the necessary regulatory clearances or approvals for expanded indications, new products or product modifications;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be fully compliant with FDA and comparable foreign regulatory authorities’ requirements relating to the marketing of new devices or modified products;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produce new products in commercial quantities at an acceptable cost;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provide adequate training to potential users of our products;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receive adequate coverage and reimbursement for procedures performed with our products; and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develop an effective and dedicated sales and marketing team.</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we are not successful in expanding our indications and developing and commercializing new products and product enhancements, our ability to increase our revenue may be impaired, which could have a material adverse effect on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may choose to focus our efforts and resources on a potential products or indication that ultimately prove to be unsuccessful, or to license or purchase a marketed product that does not meet our financial expectations. As a result, we may fail to capitalize on viable commercial products or profitable market opportunities, be required to forego or delay pursuit of opportunities with other potential products or other diseases that may later prove to have greater commercial potential, or relinquish valuable rights to such potential products through collaboration, licensing or other royalty arrangements in cases in which it would have been advantageous for us to retain sole development and commercialization rights, which could adversely impact our business, financial condition and results of operations.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Because we have limited financial and managerial resources, we focus on research programs and products and product candidates that we identify for specific indications. As a result, we may forego or delay pursuit of opportunities with other products or product candidates or for other indications that later prove to have greater commercial potential. Our resource allocation decisions may cause us to fail to timely capitalize on viable commercial products or profitable market opportunities. Our spending on current and future research and development programs and products and product candidates for specific indications may not yield any commercially viable products. If we do not accurately evaluate the commercial potential or target market for a particular product or product candidate, we may relinquish valuable rights to that product or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are subject to anti-bribery, anti-corruption, and anti-money laundering laws, including the U.S. Foreign Corrupt Practices Act, as well as export control laws, customs laws, sanctions laws and other laws governing our operations. If we fail to comply with these laws, we could be subject to civil or criminal penalties, other remedial measures and legal expenses, which could negatively affect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we grow our international presence and global operations, we will be increasingly exposed to trade and economic sanctions and other restrictions imposed by the United States, the European Union and other governments and organizations. The U.S. Departments of Justice, Commerce, State and Treasury and other federal agencies and authorities have a broad range of civil and criminal penalties they may seek to impose against corporations and individuals for violations of economic sanctions laws, export control laws, the U.S. Foreign Corrupt Practices Act (“FCPA”), and other federal statutes and regulations, including those established by the Office of Foreign Assets Control (“OFAC”). In addition, the U.K. Bribery Act of 2010 (“Bribery Act”) prohibits both domestic and international bribery, as well as bribery across both private and public sectors. An organization that fails to prevent bribery by anyone associated with the organization can be charged under the Bribery Act unless the organization can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establish the defense of having implemented adequate procedures to prevent bribery. Under these laws and regulations, as well as other anti-corruption laws, anti-money laundering laws, export control laws, customs laws, sanctions laws and other laws governing our operations, various government agencies may require export licenses, may seek to impose modifications to business practices, including cessation of business activities in sanctioned countries or with sanctioned persons or entities and modifications to compliance programs, which may increase compliance costs, and may subject us to fines, penalties and other sanctions. A violation of these laws or regulations would negatively affect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various policies and procedures designed to ensure compliance by us and our directors, officers, employees, representatives, consultants and agents with the FCPA, OFAC restrictions, the Bribery Act and other export control, anti-corruption, anti-money-laundering and anti-terrorism laws and regulations. We cannot assure you, however, that our policies and procedures are or will be sufficient or that directors, officers, employees, representatives, consultants and agents have not engaged and will not engage in conduct for which we may be held responsible, nor can we assure you that our business partners have not engaged and will not engage in conduct that could materially affect their ability to perform their contractual obligations to us or even result in our being held liable for such conduct. Violations of the FCPA, OFAC restrictions, the Bribery Act or other export control, anti-corruption, anti-money laundering and anti-terrorism laws or regulations may result in severe criminal or civil sanctions, and we may be subject to other liabilities, which could negatively affect our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results may be impacted by changes in foreign currency exchange rates.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significant proportion of our sales are outside of the United States, and a majority of those are denominated in foreign currencies, which exposes us to foreign currency risks, including changes in currency exchange rates. Foreign currency exchange fluctuations have negatively impacted, and may continue to negatively impact, our revenue from international markets. We do not currently engage in any hedging transactions. If we are unable to address these risks and challenges effectively, our international operations may not be successful, and our business could be harmed.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ability to utilize our net operating loss carryforwards and research and development credit may be limited.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general, under Sections 382 and 383 of the Internal Revenue Code of 1986, as amended (“Code”), a corporation that undergoes an ownership change, generally defined as a greater than 50% change by value in its equity ownership over a three-year period, is subject to limitations on its ability to utilize its pre-change net operating losses (“NOLs”) and its research and development credit carryforwards to offset future taxable income. Our existing NOLs and research and development credit carryforwards may be subject to limitations arising from previous ownership changes, and if we undergo an ownership change, our ability to utilize NOLs and research and development credit carryforwards could be further limited by Sections 382 and 383 of the Code. In addition, our ability to deduct net interest expense may be limited if we have insufficient taxable income for the year during which the interest is incurred, and any carryovers of such disallowed interest would be subject to the limitation rules similar to those applicable to NOLs and other attributes. Future changes in our stock ownership, some of which might be beyond our control, could result in an ownership change under Section 382 of the Code. For these reasons, in the event we experience a change of control, we may not be able to utilize a material portion of the NOLs, research and development credit carryforwards or disallowed interest expense carryovers, even if we attain profitability.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not be able to achieve or maintain satisfactory pricing and margins for our products.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Manufacturers of medical devices have a history of price competition, and we can give no assurance that we will be able to achieve satisfactory prices for our solution or maintain prices at the levels we have historically achieved. Any decline in the amount that payors reimburse our customers for the Zephyr Valve and related products could make it difficult for customers to continue using, or to adopt, our solution and could create additional pricing pressure for us. If we are forced to lower the price we charge for our solution, our gross margins will decrease, which will adversely affect our ability to invest in and grow our business. If we are unable to maintain our prices, or if our costs increase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and we are unable to offset such increase with an increase in our prices, our margins could erode. We will continue to be subject to significant pricing pressure, which will negatively affect our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Governmental export or import controls could limit our ability to compete in foreign markets and subject us to liability if we violate them.</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products may be subject to U.S. export controls. Governmental regulation of the import or export of our products, or our failure to obtain any required import or export authorization for our products, when applicable, will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we may be fined or other penalties could be imposed, including a denial of certain export privileges. Moreover, any new export or import restrictions, new legislation or shifting approaches in the enforcement or scope of existing regulations, or in the countries, persons or technologies targeted by such regulations, could result in decreased use of our products by, or in our decreased ability to export our products to existing or potential customers with international operations. Any decreased use of our products or limitation on our ability to export or sell access to our products would likely negatively affect our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Public health crises have in the past and may in the future have a material adverse impact on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Public health crises and other events beyond our control, have in the past and may in the future have a material adverse impact on our business, financial condition and results of operations. For example, the COVID-19 pandemic and related governmental and societal responses to mitigate its impact had a material adverse impact on our business, financial condition and results of operations by decreasing and delaying procedures performed using our products due to healthcare organizations prioritizing the treatment of patients with COVID-19 and altering their operations to respond to the pandemic.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public health crisis could significantly disrupt economic activity globally and have a material adverse impact our ability to access capital and on our business, financial condition and results of operations as a result of hospitals reducing capital and overall spend and other potential changes in healthcare organizations’ prioritizing of patient treatment, significant job losses and unemployment, including the inability of patients to obtain or maintain health insurance policies, inflation, and reductions in disposable income. Additionally, if a public health crisis or other event beyond our control were to emerge, there may be limited provider capacity due to labor shortages, or for other reasons, which could limit the ability of patients to receive treatment with Zephyr Valves. This limited provider and hospital capacity could have a material adverse effect on our business, financial condition and results of operations, and it may have the effect of heightening other risks described in this “Risk Factors” section.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Potential natural disasters could damage, destroy or disrupt clinical study sites, our office spaces, manufacturing facilities, and/or warehouses, which could have a significant negative impact on our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are vulnerable to the increasing impact of climate change and other natural disasters. Volatile changes in weather conditions, including extreme heat or cold, could increase the risk of wildfires, floods, blizzards, hurricanes and other weather-related disasters. Such extreme weather events, or other natural disasters such as earthquakes, can cause power outages and network disruptions that may result in disruption to operations and may impact our ability to continue or complete our clinical studies, which will negatively impact our operations and delay our plans to commercialize our product candidates. They could also cause significant damage to or destruction of our clinical study sites resulting in temporary or long-term closures of these facilities. Such disasters could also result in loss or damage to office buildings, manufacturing facilities, employee and/or patient homes, employees and/or patients relocating to other parts of the country or being unwilling to travel to the clinical study site locations, and the inability to recruit key employees and/or enroll patients. This could result in adverse impacts to the available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workforce and/or patients, damage to or destruction of materials and/or data, or the inability to conduct clinical studies and deliver new data.</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Government Regulation and Our Industry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Our products and operations are subject to extensive government regulation and oversight both in the United States and abroad. If we fail to obtain and maintain necessary regulatory approvals for the Zephyr Valve and related products, or if approvals for future products and indications are delayed or not issued, it will negatively affect our business, financial condition and results of operations.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Zephyr Valve, and any other medical device products for which we obtain the necessary approvals are subject to extensive regulation by the FDA in the United States and comparable foreign regulatory authorities abroad. Regulations specific to medical devices are wide ranging and govern, among other things: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product design, development, manufacture, and release;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laboratory, pre-clinical and clinical testing, labeling, packaging, storage and distribution;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product safety and efficacy;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premarketing clearance or approval;</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service operations;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record keeping;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product marketing, promotion and advertising, sales and distribution;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post-marketing surveillance, including reporting of deaths or serious injuries and recalls and correction and removals;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post-market approval studies;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product import and export.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510(k) or PMA and foreign equivalents process can be expensive, lengthy and unpredictable. We may not be able to obtain any necessary clearances, certification or approval or may be unduly delayed in doing so, which will negatively affect our business, financial condition and results of operations. Furthermore, even if we are granted regulatory clearances, certification or approvals, they may include significant limitations on the indicated uses for the product, which may limit the market for the product. Although we have obtained PMA approval and CE marked our product after obtaining related CE Certificates of Conformity to market the Zephyr Valve, the AeriSeal System, the Chartis Catheter and the Chartis Console, our approval and CE Certificates of Conformity can be revoked if safety or efficacy problems develop.</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FDA, comparable foreign regulatory authorities and Notified Bodies can delay, limit or deny clearance, certification or approval of a device for many reasons, including:</w:t>
      </w:r>
    </w:p>
    <w:p>
      <w:pPr>
        <w:pStyle w:val="TextBody"/>
        <w:bidi w:val="0"/>
        <w:spacing w:lineRule="auto" w:line="268" w:before="0" w:after="240"/>
        <w:ind w:left="0" w:right="0" w:hanging="360"/>
        <w:jc w:val="left"/>
        <w:rPr/>
      </w:pPr>
      <w:r>
        <w:rPr>
          <w:color w:val="000000"/>
        </w:rPr>
        <w:t>•</w:t>
      </w:r>
      <w:r>
        <w:rPr>
          <w:rFonts w:ascii="Times New Roman;serif" w:hAnsi="Times New Roman;serif"/>
          <w:b w:val="false"/>
          <w:color w:val="000000"/>
          <w:sz w:val="20"/>
        </w:rPr>
        <w:t xml:space="preserve">our inability to demonstrate to the satisfaction of the FDA, the applicable regulatory authority or Notified Body that our products are safe or effective for their intended uses; </w:t>
      </w:r>
    </w:p>
    <w:p>
      <w:pPr>
        <w:pStyle w:val="TextBody"/>
        <w:bidi w:val="0"/>
        <w:spacing w:lineRule="auto" w:line="268" w:before="0" w:after="240"/>
        <w:ind w:left="0" w:right="0" w:hanging="360"/>
        <w:jc w:val="left"/>
        <w:rPr/>
      </w:pPr>
      <w:r>
        <w:rPr>
          <w:color w:val="000000"/>
        </w:rPr>
        <w:t>•</w:t>
      </w:r>
      <w:r>
        <w:rPr>
          <w:rFonts w:ascii="Times New Roman;serif" w:hAnsi="Times New Roman;serif"/>
          <w:b w:val="false"/>
          <w:color w:val="000000"/>
          <w:sz w:val="20"/>
        </w:rPr>
        <w:t>the disagreement of the FDA or the applicable foreign regulatory authority or Notified Body with the design or implementation of our clinical trials or the interpretation of data from pre-clinical studies or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serious and unexpected adverse device effects experienced by participants in our clinical trials; </w:t>
      </w:r>
    </w:p>
    <w:p>
      <w:pPr>
        <w:pStyle w:val="TextBody"/>
        <w:bidi w:val="0"/>
        <w:spacing w:lineRule="auto" w:line="268" w:before="0" w:after="240"/>
        <w:ind w:left="0" w:right="0" w:hanging="360"/>
        <w:jc w:val="left"/>
        <w:rPr/>
      </w:pPr>
      <w:r>
        <w:rPr>
          <w:color w:val="000000"/>
        </w:rPr>
        <w:t>•</w:t>
      </w:r>
      <w:r>
        <w:rPr>
          <w:rFonts w:ascii="Times New Roman;serif" w:hAnsi="Times New Roman;serif"/>
          <w:b w:val="false"/>
          <w:color w:val="000000"/>
          <w:sz w:val="20"/>
        </w:rPr>
        <w:t xml:space="preserve">the data from our pre-clinical studies and clinical trials may be insufficient to support clearance, certification or approval, where required;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our inability to demonstrate that the clinical and other benefits of the device outweigh the risks;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the manufacturing process or facilities we use may not meet applicable requirements; and </w:t>
      </w:r>
    </w:p>
    <w:p>
      <w:pPr>
        <w:pStyle w:val="TextBody"/>
        <w:bidi w:val="0"/>
        <w:spacing w:lineRule="auto" w:line="268" w:before="0" w:after="240"/>
        <w:ind w:left="0" w:right="0" w:hanging="360"/>
        <w:jc w:val="left"/>
        <w:rPr/>
      </w:pPr>
      <w:r>
        <w:rPr>
          <w:color w:val="000000"/>
        </w:rPr>
        <w:t>•</w:t>
      </w:r>
      <w:r>
        <w:rPr>
          <w:rFonts w:ascii="Times New Roman;serif" w:hAnsi="Times New Roman;serif"/>
          <w:b w:val="false"/>
          <w:color w:val="000000"/>
          <w:sz w:val="20"/>
        </w:rPr>
        <w:t>the potential for approval policies or regulations of the FDA or applicable foreign regulatory authorities to change significantly in a manner rendering our clinical data or regulatory filings insufficient for clearance, certification or approval.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we fail to remain in compliance with applicable European Union laws, we would be unable to continue to affix the CE mark to our products, which would prevent us from selling them within the European Economic Area (“EEA”) and other European countries in which we rely on the CE mark.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FDA and state and international authorities including EU Member States have broad enforcement powers. Our failure to comply with applicable regulatory requirements could result in enforcement action by any such agency and authority, which may include any of the following sanctions: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adverse publicity, warning letters, fines, injunctions, consent decrees and civil penalties;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repair, replacement, refunds, recall or seizure of our products;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operating restrictions, partial suspension or total shutdown of production;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denial of our requests for regulatory clearance, certification or premarket approval of new products or services, new intended uses or modifications to existing products or services;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withdrawal of regulatory clearance, certification or premarket approvals that have already been granted;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criminal prosecution.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any of these events were to occur, it will negatively affect our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Changes in the regulatory environment may constrain or require us to restructure our operations, which may harm our revenue and operating results.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Healthcare laws and regulations change frequently and may change significantly in the future. We may not be able to adapt our operations to address every new regulation, and new regulations may negatively affect our business, financial condition and results of operations. We cannot assure you that a review of our business by courts or regulatory authorities would not result in a determination that adversely affects our revenue and operating results, or that the healthcare regulatory environment will not change in a way that restricts our operations. In addition, there is risk that the U.S. Congress may implement changes in laws and regulations governing healthcare service providers, including measures to control costs, or reductions in reimbursement levels, which may negatively affect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federal government is considering ways to change, and has changed, the manner in which healthcare services are paid for in the United States. CMS establishes Medicare payment levels for hospitals and physicians on an annual basis, which can increase or decrease payment to such entities. CMS, as well as insurers, have increased their efforts to control the cost, utilization and delivery of healthcare services. From time to time, the U.S. Congress has considered and implemented changes in the CMS fee schedules in conjunction with budgetary legislation. Further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reductions of reimbursement by CMS for services or changes in policy regarding coverage of tests or other services provided or other requirements for payment, such as prior authorization or a physician’s or qualified practitioner’s signature on test/service requisitions, may be implemented from time to time. Individual states may also enact legislation that impacts Medicaid payments to hospitals and physicians. Reductions in the reimbursement rates and changes in payment policies of other third-party payors may occur as well. Similar changes in the past have resulted in reduced payments as well as added costs and have added more complex regulatory and administrative requirements. Further changes in federal, state, local and third-party payor regulations or policies may negatively affect our business, financial condition and results of operations. Actions by agencies regulating insurance or changes in other laws, regulations, or policies may also negatively affect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to changes to the regulatory environment in the United States, there have been changes to the regulatory environment in certain foreign jurisdiction in which we operate. For example, the European Union Medical Device Regulation (Regulation (EU) 2017/745) (“MDR”) became applicable in 2021 and includes transitional provisions that have been subject to multiple amendments. We are currently placing our medical devices on the market in accordance with the requirements of the MDR, including the stringent requirements of the transitional provisions of the MDR which, among other conditions require continuous compliance with the requirements of the European Union Medical Devices Directive (Council Directive 93/42/EEC) (“MDD”) and the guidance of the European Commission’s Medical Devices Coordination Group. For those devices that we place on the market in the EU on the basis of the transitional provisions of the MDR, we intend to complete conformity assessment procedures for such medical devices in accordance with the MDR prior to the expiration of our existing CE Certificate(s) of Conformity issued by our Notified Body, BSI, issued on the basis of the MDD, in accordance with the transitional provisions of the MDR. The changes to the regulatory system implemented in the EU by the MDR include stricter requirements for clinical evidence and pre-market assessment of safety and performance, new classifications to indicate risk levels, requirements for third party testing by Notified Bodies, tightened and streamlined quality management system assessment procedures and additional requirements for the quality management system, additional requirements for traceability of products and transparency as well a refined responsibility of economic operators. We are also required to provide clinical data in the form of a clinical evaluation report. Fulfilment of the obligations imposed by the MDR may cause us to incur substantial costs. We may be unable to fulfil these obligations for medical devices we intend to place on the EU market, or our Notified Body, where they are involved, may consider that we have not adequately demonstrated compliance with our related obligations to merit a CE Certificate of Conformity on the basis of the MDR. We must obtain the appropriate CE Certificate(s) of Conformity in accordance with the MDR to continue to place our products on the EU market, or other countries that relate their medical device regulations to a CE mark, once we can no longer benefit from the transitional provisions of the MDR. The modifications of the MDR may have an effect on the way we conduct our business in the EEA. Additional regulatory changes may negatively affect our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Changes in funding for, or disruptions caused by global health concerns impacting, the FDA and other government agencies could hinder their ability to hire and retain key leadership and other personnel, or otherwise prevent new products and services from being developed, cleared or approved or commercialized in a timely manner, which could negatively impact our business.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Disruptions at the FDA and other agencies may also slow the time necessary for new devices to be reviewed and/or approved or cleared by necessary government agencies, which would adversely affect our business. For example, over the last several years, including for 43 days beginning on October 1, 2025, the U.S. government has shut down several times and certain regulatory agencies, such as the FDA, have had to furlough critical FDA employees and stop critical activities. If a prolonged government shutdown occurs, or if global health concerns prevent the FDA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regulatory authorities from conducting business as usual or conducting inspections, reviews or other regulatory activities, it could significantly impact the ability of the FDA to timely review and process our regulatory submissions, which could have a material adverse effect on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 recall of our products, either voluntarily or at the direction of the FDA or another regulatory authority, or the discovery of serious safety issues with our products that leads to corrective actions, could have a significant adverse impact on us.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FDA and similar foreign regulatory authorities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an FDA finding that there is reasonable probability that the device would cause serious injury or death. Manufacturers may also, under their own initiative, recall a product if any material deficiency in a device is found or withdraw a product to improve device performance or for other reasons. The FDA requires that certain classifications of recalls be reported to the FDA within ten working days after the recall is initiated. A government-mandated or voluntary recall by us could occur as a result of an unacceptable risk to health, component failures, malfunctions, manufacturing errors, design or labeling defects or other deficiencies and issues. Similar regulatory authorities in other countries have similar authority to recall devices because of material deficiencies or defects in design or manufacture that could endanger health. Any recall would divert management attention and financial resources and could cause the price of our stock to decline, expose us to product liability or other claims and harm our reputation with customers. A future recall announcement will harm our reputation with customers and negatively affect our sales. In addition, the FDA or a foreign regulatory authority could take enforcement action for failing to report the recalls when they were conducted.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under the FDA’s medical device reporting regulations (“MDRs”), we are required to report to the FDA any incident in which our product may have caused or contributed to a death or serious injury or in which our product malfunctioned and, if the malfunction were to recur, would likely cause or contribute to death or serious injury. Repeated product malfunctions may result in a voluntary or involuntary product recall. We are also required to follow detailed recordkeeping requirements for all firm-initiated medical device corrections and removals, and to report such corrective and removal actions to FDA if they are carried out in response to a risk to health and have not otherwise been reported under the MDRs. Depending on the corrective action we take to redress a product’s deficiencies or defects, the FDA may require, or we may decide, that we will need to obtain new approvals, or clearances for the device before we may market or distribute the corrected device. Seeking such approvals or clearances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 We may also be required to bear other costs or take other actions that may have a negative impact on our sales as well as face significant adverse publicity or regulatory consequences, which will negatively affect our business, financial condition and results of operations, including our ability to market our products in the future. Comparable requirements and related consequences are applicable in foreign countries.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Any adverse event involving our products, whether in the United States or abroad, could result in future voluntary corrective actions, such as recalls or customer notifications, or agency action, such as inspection, mandatory recall or other enforcement action. Any corrective action, whether voluntary or involuntary, as well as defending ourselves in a lawsuit, will require the dedication of our time and capital, distract management from operating our business and may harm our reputation and financial results.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are subject to certain federal, state and foreign fraud and abuse laws, health information privacy and security laws and transparency laws, which, if violated, could subject us to substantial penalties and negatively affect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products and services we offer are highly regulated, and there can be no assurance that the regulatory environment in which we operate will not change significantly and adversely in the future. Our arrangements with physicians, hospitals and clinics may expose us to broadly applicable fraud and abuse and other laws and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that may restrict the financial arrangements and relationships through which we market, sell and distribute our products and services. Federal and state healthcare laws and regulations that may affect our ability to conduct business, include, without limitation: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federal and state laws and regulations regarding billing and claims payment applicable to our solution and regulatory agencies enforcing those laws and regulations;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federal Anti-Kickback Statute, which prohibits, among other things, any person or entity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 such as Medicare and Medicaid;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federal false claims laws, including the FCA, which prohibit, among other things, individuals or entities from knowingly presenting, or causing to be presented, false claims, or knowingly using false statements, to obtain payment from the federal government;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federal criminal laws that prohibit executing a scheme to defraud any healthcare benefit program or making false statements relating to healthcare matters;</w:t>
      </w:r>
    </w:p>
    <w:p>
      <w:pPr>
        <w:pStyle w:val="TextBody"/>
        <w:bidi w:val="0"/>
        <w:spacing w:lineRule="auto" w:line="268" w:before="0" w:after="240"/>
        <w:ind w:left="0" w:right="0" w:hanging="360"/>
        <w:jc w:val="left"/>
        <w:rPr/>
      </w:pPr>
      <w:r>
        <w:rPr>
          <w:color w:val="000000"/>
        </w:rPr>
        <w:t>•</w:t>
      </w:r>
      <w:r>
        <w:rPr>
          <w:rFonts w:ascii="Times New Roman;serif" w:hAnsi="Times New Roman;serif"/>
          <w:b w:val="false"/>
          <w:color w:val="000000"/>
          <w:sz w:val="20"/>
        </w:rPr>
        <w:t>the federal Physician Payments Sunshine Act, created under the Patient Protection and Affordable Care Act, as amended by the Health Care and Education Reconciliation Act of 2010 (collectively, the “Affordable Care Act”) and its implementing regulations, which requires certain manufacturers of drugs, medical devices, biologicals and medical supplies for which payment is available under Medicare, Medicaid, or the Children’s Health Insurance Program to report annually to CMS,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federal consumer protection and unfair competition laws, which broadly regulate marketplace activities and activities that potentially harm consumers;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HIPAA, as amended by the Health Information Technology for Economic and Clinical Health Act (“HITECH”), and its implementing regulations, which impose certain requirements relating to the privacy, security and transmission of individually identifiable health information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HIPAA also created criminal liability for, among other things, knowingly and willfully falsifying or concealing a material fact or making a materially false statement in connection with the delivery of or payment for healthcare benefits, items or services;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Federal Drug &amp; Cosmetic Act, which prohibits, among other things, the adulteration or misbranding of drugs, biologics and medical devices;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federal physician self-referral prohibition, commonly known as the Stark Law, which prohibits, among other things, physicians who have a financial relationship, including an investment, ownership or compensation relationship with an entity, from referring Medicare and Medicaid patients to that entity for designated health services, which include clinical laboratory services, unless an exception applies. Similarly, entities may not bill Medicare, Medicaid or any other party for services furnished pursuant to a prohibited referral;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state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 and</w:t>
      </w:r>
    </w:p>
    <w:p>
      <w:pPr>
        <w:pStyle w:val="TextBody"/>
        <w:bidi w:val="0"/>
        <w:spacing w:lineRule="auto" w:line="268" w:before="0" w:after="240"/>
        <w:ind w:left="0" w:right="0" w:hanging="360"/>
        <w:jc w:val="left"/>
        <w:rPr/>
      </w:pPr>
      <w:r>
        <w:rPr>
          <w:color w:val="000000"/>
        </w:rPr>
        <w:t>•</w:t>
      </w:r>
      <w:r>
        <w:rPr>
          <w:rFonts w:ascii="Times New Roman;serif" w:hAnsi="Times New Roman;serif"/>
          <w:b w:val="false"/>
          <w:color w:val="000000"/>
          <w:sz w:val="20"/>
        </w:rPr>
        <w:t>similar healthcare laws and regulations in the European Union, the UK and other jurisdictions, including national anti-bribery laws of European countries and national rules, regulations, industry self-regulation codes reporting requirements detailing interactions with and payments to healthcare providers and laws governing the privacy and security of certain protected information, such as personal data under the General Data Protection Regulation (“GDPR”).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Affordable Care Act was enacted in 2010. The Affordable Care Act, among other things, amended the intent requirement of the federal Anti-Kickback Statute and criminal healthcare fraud statutes, including those created under HIPAA. A person or entity no longer needs to have actual knowledge of this statute or specific intent to violate it. In addition, the Affordable Care Act provides that the government may assert that a claim including items or services resulting from a violation of the federal Anti-Kickback Statute constitutes a false or fraudulent claim for purposes of the FCA.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enforce compliance with the healthcare regulatory laws, certain enforcement bodies have continued their scrutiny of interactions between healthcare companies and healthcare providers, which has led to a number of investigations, prosecutions, convictions and settlements in the healthcare industry. Responding to investigations can be time and resource-consuming and can divert management’s attention from the business. Additionally, as a result of these investigations, healthcare providers and entities may have to agree to additional compliance and reporting requirements as part of a consent decree or corporate integrity agreement. Any such investigation or settlement could increase our costs or otherwise negatively affect our business, financial condition and results of operations. Even an unsuccessful challenge or investigation into our practices could cause adverse publicity and be costly to respond to.</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2022, we received a civil investigative demand (“CID”) from the U.S. Department of Justice, Civil Division (“US DOJ”) in connection with an investigation under the False Claims Act. The CID requested information and documents regarding our relationships with certain health care providers, medical practices, and hospitals in connection with the sales and marketing of the Zephyr Valves and related products and services. Subsequently, on or about January 27, 2025 the US DOJ filed on behalf of itself and certain states attorneys general, a Notice of Election to Decline Intervention in and to unseal the underlying action filed by an individual (the “Relator”) in U.S. District Court for the Northern District of California (the “Qui Tam Action”). In December 2025, the Company entered into a settlement agreement with the Relator with approval by the US DOJ and the various states’ attorneys general who were parties to the Qui Tam Action. The Qui Tam Action was dismissed on December 22, 2025.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have adopted policies and procedures designed to comply with these laws and regulations and conduct internal reviews of our compliance with these laws, our activities, including those relating to the reporting of discount and rebate information and other information affecting federal, state and third-party reimbursement of our products (such as our patient reimbursement support program) and the sale and marketing of our products, may be subject to scrutiny under these laws. Because of the breadth of these laws and the narrowness of available statutory exceptions and regulatory safe harbors, it is possible that some of our activities could be subject to challenge under one or more such laws. The growth of our business and sales organization and our expansion outside of the United States may increase the potential of violating these laws or our internal policies and procedures.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 federal, state and foreign laws described above or any other current or future fraud and abuse or other healthcare laws and regulations that apply to us, we may be subject to significant penalties, including significant criminal, civil, and administrative penalties, damages, fines, imprisonment for individuals, additional oversight and reporting obligations, exclusion from participation in government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such as Medicare and Medicaid, or comparable foreign programs, imprisonment, contractual damages, reputation harm and disgorgement and we could be required to curtail or cease our operations. Any of the foregoing consequences will negatively affect our business, financial condition and results of operations.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modify the Zephyr Valve, we may need to seek additional clearances, certification or approvals, which, if not granted, would prevent us from selling our modified products.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the Zephyr Valve is marketed pursuant to a PMA order issued by the FDA. Any modifications to a PMA-approved device that could significantly affect its safety or effectiveness, including significant design and manufacturing changes, or that would constitute a major change in its intended use, manufacture, design, components, or technology requires approval of a new PMA application or PMA supplement. However, certain changes to a PMA-approved device do not require submission and approval of a new PMA or PMA supplement and may only require notice to FDA in a PMA 30-Day Notice, Special PMA Supplement—Changes Being Effected or PMA Annual Report. The FDA requires every manufacturer to make this determination in the first instance, but the FDA may review any manufacturer’s decision. The FDA may not agree with our decisions regarding whether new approvals are necessary. If the FDA disagrees with our determination and requires us to seek new PMA approvals for modifications to our previously approved products for which we have concluded that new approvals are unnecessary, we may be required to cease marketing or to recall the modified product until we obtain clearance or approval, and we may be subject to significant regulatory fines or penalties. Furthermore, our products could be subject to recall if the FDA determines, for any reason, that our products are not safe or effective or that appropriate regulatory submissions were not made.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those medical devices sold in the EU and for which we have obtained a CE Certificate of Conformity by a Notified Body, we must notify our Notified Body if significant changes are made to the devices or if there are substantial changes to our quality assurance systems affecting those products. In addition, if we make any substantial changes to medical devices for which we have obtained a CE Certificate of Conformity on the basis of the MDD and which we continue to place on the EU market on the basis of the transitional provisions of the MDR, we will no longer be able to benefit from the transitional provisions of the MDR. Substantial changes to such devices will trigger immediate compliance with the full regulatory framework of the MDR.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Delays in receipt or failure to receive approvals or certifications, the loss of previously received approvals or certifications, or the failure to comply with any other existing or future regulatory requirements, could reduce our sales, profitability and future growth prospects.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Failure to comply with post-marketing regulatory requirements could subject us to enforcement actions, including substantial penalties, and might require us to recall or withdraw a product from the market.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Even though we have obtained approval for the Zephyr Valve, we are subject to ongoing and pervasive regulatory requirements governing, among other things, the manufacture, marketing, advertising, medical device reporting, sale, promotion, registration, and listing of devices. For example, we must submit periodic reports to the FDA as a condition of PMA approval. These reports include safety and effectiveness information about the device after its approval. Failure to submit such reports, or failure to submit the reports in a timely manner, could result in enforcement action by the FDA. Following its review of the periodic reports, the FDA might ask for additional information or initiate further investigation.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EU, the MDR imposes strict post-market regulatory requirements which are also applicable to those devices for which we have obtained a CE Certificate of Conformity on the basis of the MDD and which we continue to place on the EU market on the basis of the transitional provisions of the MDR.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regulations to which we are subject are complex and have become more stringent over time. Regulatory changes could result in restrictions on our ability to continue or expand our operations, higher than anticipated costs, or lower than anticipated sales. Even after we have obtained the proper regulatory approval or certification to market a device, we have ongoing responsibilities under FDA regulations and applicable foreign laws and regulations. Our failure to comply with applicable regulatory requirements could result in enforcement action by the FDA, state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foreign regulatory authorities, which will negatively affect our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If treatment guidelines for severe emphysema or the standard of care evolves, we may need to redesign and seek new marketing authorization from the FDA or comparable foreign regulatory authorities, or certification from Notified Bodies, for one or more of our products.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treatment guidelines for severe emphysema changes or the standard of care for this condition evolves, we may need to redesign the applicable product and seek new approvals from the FDA or comparable foreign regulatory authorities, or certification from Notified Bodies. Our PMA approvals from the FDA are based on current treatment guidelines. If treatment guidelines change so that different treatments become desirable, the clinical utility of one or more of our products could be diminished and will negatively affect our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or our suppliers fail to comply with the FDA’s QMSR or the European Union MDR, our manufacturing or distribution operations could be delayed or shut down and our revenue could suffer.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manufacturing and design processes and those of our third-party suppliers are required to comply with the FDA’s QMSR and the European Union MDR, including Quality Management System requirements, both of which cover procedures and documentation of the design, testing, production, control, quality assurance, labeling, packaging, storage and shipping of Zephyr Valves, the AeriSeal System, the Chartis Catheter and the Chartis Console. We are also subject to similar state requirements and licenses, and comply with ongoing International Organization for Standardization (“ISO”) in all operations, including design, manufacturing, and service, to maintain our CE Marks. In addition, we must engage in extensive recordkeeping and reporting and must make available our facilities and records for periodic unannounced inspections by governmental agencies, including the FDA, state authorities, competent authorities of EU Member States, European Union Notified Bodies and comparable authorities in other countries. If we fail a regulatory inspection, our operations could be disrupted and our manufacturing interrupted. Failure to take adequate corrective action in response to an adverse regulatory inspection could result in, among other things, a shutdown of our manufacturing or product distribution operations, significant fines, suspension of marketing clearances, certification and approvals, seizures or recalls of our device, operating restrictions and criminal prosecutions, any of which would negatively affect our business, financial condition and results of operations. Furthermore, our key component suppliers may not currently be or may not continue to be in compliance with applicable regulatory requirements, which may result in manufacturing delays for our product and cause our revenue to decline.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registered with the FDA as a manufacturer. The FDA has broad post-market and regulatory enforcement powers. We are subject to unannounced inspections by the FDA and the Food and Drug Branch of the CDPH to determine our compliance with the QMSR and other regulations at our manufacturing facility, and these inspections may include the manufacturing facilities of our suppliers. We believe that we are in compliance, in all material respects, with the QMSR.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also maintain a CE Certificate of Conformity in accordance with the MDD and a separate CE Certificate of Conformity in accordance with the MDR for the design and manufacture of our products issued by BSI in the Netherlands, our European Notified Body. We believe that we are in compliance, in all material respects, with the MDD and MDR, as applicable to our products.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can provide no assurance that we will continue to remain in compliance with the QMSR, MDR, and MDD, as applicable to our products. If the FDA, CDPH, BSI or competent authorities of EU Member States inspect any of our facilities and discover compliance problems, we may have to cease manufacturing and product distribution until we can take the appropriate remedial steps to correct the audit findings. Taking corrective action may be expensive, time consuming and a distraction for management and if we experience a delay at our manufacturing facility, we may be unable to produce our solutions, which will negatively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misuse or off-label use of our solution will harm our image in the marketplace, result in injuries that lead to product liability suits or result in costly investigations and sanctions by regulatory bodies if we are deemed to have engaged in the promotion of these uses, any of which will negatively affect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solution has been approved by the FDA for specific indications. We train our marketing and direct sales force to not promote our products for uses outside of the FDA-approved indications for use, known as “off-label” uses. We cannot, however, prevent a physician from using our products off-label, when in the physician’s independent professional medical judgment, he or she deems it appropriate. There may be increased risk of injury to patients if physicians attempt to use our products off-label. Furthermore, the use of our products for indications other than those approved by the FDA or any foreign regulatory body, or for which we have CE marked our products, may not effectively treat such conditions, which will harm our reputation in the marketplace among physicians and patients.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Physicians may also misuse our products or use improper techniques if they are not adequately trained, potentially leading to injury and an increased risk of product liability. If our products are misused or used with improper technique, we may become subject to costly litigation by our customers or their patients. Product liability claims could divert management’s attention from our core business, be expensive to defend, and result in sizable damage awards against us that may not be covered by insurance. In addition, if the FDA or any foreign regulatory body determines that our promotional materials or training constitute promotion of an off-label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 Any of these events will negatively affect our business, financial condition and results of operations and cause our stock price to decline.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be subject to regulatory or enforcement actions if we engage in improper marketing or promotion of our products.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educational and promotional activities and training methods must comply with FDA and other applicable laws, including the prohibition of the promotion of a medical device for a use that has not been cleared or approved by the FDA, or for which we have CE marked our products. Use of a device outside of its cleared, approved, or CE marked indications is known as “off-label” use. Physicians may use our products off-label in their professional medical judgment, as the FDA and comparable foreign regulatory authorities do not restrict or regulate a physician’s choice of treatment within the practice of medicine. However, if the FDA or comparable foreign regulatory authorities determine that our educational and promotional activities or training constitutes promotion of an off-label use, it could request that we modify our training or promotional materials or subject us to regulatory or enforcement actions, including the issuance of warning letters, untitled letters, fines, penalties, injunctions, or seizures, which could have an adverse impact on our reputation and financial results. It is also possible that other federal, state or foreign enforcement authorities might take action if they consider our educational and promotional activities or training methods to constitute promotion of an off-label use, which could result in significant fines or penalties under other statutory authorities, such as laws prohibiting false claims for reimbursement. In that event, our reputation could be damaged, and adoption of the products could be impaired. Although our policy is to refrain from statements that could be considered off-label promotion of our products, the FDA or another regulatory authority could disagree and conclude that we have engaged in off-label promotion. It is also possible that other federal, state or foreign enforcement authorities might take action, such as federal prosecution under the FCA, if they consider our business activities constitute promotion of an off-label use, which could result in significant penalties, including, but not limited to, criminal, civil or administrative penalties, damages, fines, disgorgement, exclusion from participation in government healthcare programs, additional reporting requirements and oversight if we become subject to a corporate integrity agreement or similar agreement to resolve allegations of non-compliance with these laws, and the curtailment or restructuring of our operations. In addition, the off-label use of our products may increase the risk of product liability claims. Product liability claims are expensive to defend and could divert our management’s attention, result in substantial damage awards against us, and harm our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The clinical trial process required to obtain regulatory approvals and certification is lengthy and expensive with uncertain outcomes. If clinical studies of our future products do not produce results necessary to support regulatory clearance, certification or approval in the United States or, with respect to our current or future products, elsewhere, we will be unable to expand the indications for or commercialize these products and may incur additional costs or experience delays in completing, or ultimately be unable to complete, the commercialization of those products.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have obtained PMA approval and a CE Certificate of Conformity for the Zephyr Valve in accordance with the MDD. Additionally, we have received a CE Certification of Conformity for the AeriSeal System in accordance with the MDD and we are currently conducting a global clinical trial designed to support PMA approval for the AeriSeal System. We have also obtained a CE Certificate of Conformity in accordance with the MDR for the Chartis Catheter and the Chartis Console. In order to obtain PMA approval for a device, the sponsor must conduct well-controlled clinical trials designed to assess the safety and efficacy of the product candidate. Similar requirements may apply outside the U.S. Conducting clinical trials is a complex and expensive process, can take many years, and outcomes are inherently uncertain. We incur substantial expense for, and devote significant time to, clinical trials but cannot be certain that the trials will ever result in commercial revenue. We may experience significant setbacks in clinical trials, even after earlier clinical trials showed promising results, and failure can occur at any time during the clinical trial process. Any of our products may malfunction or may produce undesirable adverse effects that could cause us or regulatory authorities to interrupt, delay or halt clinical trials. We, the FDA, or another regulatory authority may suspend or terminate clinical trials at any time to avoid exposing trial participants to unacceptable health risks.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Successful results of pre-clinical studies are not necessarily indicative of future clinical trial results, and predecessor clinical trial results may not be replicated in subsequent clinical trials. Additionally, the FDA or comparable foreign regulatory authorities may disagree with our interpretation of the data from our pre-clinical studies and clinical trials, or may find the clinical trial design, conduct or results inadequate to prove safety or efficacy, and may require us to pursue additional pre-clinical studies or clinical trials, which could further delay the clearance, certification or approval of our products. The data we collect from our pre-clinical studies and clinical trials may not be sufficient to support FDA or comparable foreign regulatory authority clearance or approval, or certification, and if we are unable to demonstrate the safety and efficacy of our future products in our clinical trials, we will be unable to obtain regulatory clearance, certification or approval to market our products.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may estimate and publicly announce the anticipated timing of the accomplishment of various clinical, regulatory and other product development goals, which are often referred to as milestones. These milestones could include the obtainment of the right to affix the CE mark in the European Union; the submission to the FDA of an Investigational Device Exemption (“IDE”) application to commence a pivotal clinical trial for a new product candidate; the enrollment of patients in clinical trials; the release of data from clinical trials; and other clinical and regulatory events. The actual timing of these milestones could vary dramatically compared to our estimates, in some cases for reasons beyond our control. We cannot assure you that we will meet our projected milestones and if we do not meet these milestones as publicly announced, the commercialization of our products may be delayed and, as a result, our stock price may decline.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Clinical trials are necessary to support PMA applications and may be necessary to support PMA supplements for modified versions of our marketed device products. Similar requirements may apply outside the U.S. This would require the enrollment of large numbers of suitable subjects, which may be difficult to identify, recruit and maintain as participants in the clinical trial. Adverse outcomes in the post-approval studies could also result in restrictions or withdrawal of approval of the PMA or comparable foreign approvals or certification. We will likely need to conduct additional clinical studies in the future to support new indications for our products or for approvals, certification or clearances of new product lines, or for the approval or certification of the use of our products in some foreign countries. Clinical testing is difficult to design and implement, can take many years, can be expensive and carries uncertain outcomes. The initiation and completion of any of these studies may be prevented, delayed, or halted for numerous reasons. We may experience a number of events that could adversely affect the costs, timing or successful completion of our clinical trials,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may be required to submit an IDE application to the FDA, or comparable foreign applications, which must become effective prior to commencing human clinical trials, and the FDA or comparable foreign regulatory authorities may reject our application and notify us that we may not begin investigational trials;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regulators and other comparable foreign regulatory authorities may disagree as to the design or implementation of our clinical trials; </w:t>
      </w:r>
    </w:p>
    <w:p>
      <w:pPr>
        <w:pStyle w:val="TextBody"/>
        <w:bidi w:val="0"/>
        <w:spacing w:lineRule="auto" w:line="268" w:before="0" w:after="240"/>
        <w:ind w:left="0" w:right="0" w:hanging="360"/>
        <w:jc w:val="left"/>
        <w:rPr/>
      </w:pPr>
      <w:r>
        <w:rPr>
          <w:color w:val="000000"/>
        </w:rPr>
        <w:t>•</w:t>
      </w:r>
      <w:r>
        <w:rPr>
          <w:rFonts w:ascii="Times New Roman;serif" w:hAnsi="Times New Roman;serif"/>
          <w:b w:val="false"/>
          <w:color w:val="000000"/>
          <w:sz w:val="20"/>
        </w:rPr>
        <w:t xml:space="preserve">regulators, IRBs, ethics committees or other reviewing bodies may not authorize us or our investigators to commence a clinical trial, or to conduct or continue a clinical trial at a prospective or specific trial site;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we may not reach agreement on acceptable terms with prospective contract research organizations (“CROs”) and clinical trial sites, the terms of which can be subject to extensive negotiation and may vary significantly among different CROs and trial sites;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clinical trials may produce negative or inconclusive results, and we may decide, or regulators may require us, to conduct additional clinical trials or abandon product development programs;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our third-party contractors, including those manufacturing products or conducting clinical trials on our behalf, may fail to comply with regulatory requirements or meet their contractual obligations to us in a timely manner, or at all;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we might have to suspend, vary or terminate clinical trials for various reasons, including a finding that the subjects are being exposed to unacceptable health risks; </w:t>
      </w:r>
    </w:p>
    <w:p>
      <w:pPr>
        <w:pStyle w:val="TextBody"/>
        <w:bidi w:val="0"/>
        <w:spacing w:lineRule="auto" w:line="268" w:before="0" w:after="240"/>
        <w:ind w:left="0" w:right="0" w:hanging="360"/>
        <w:jc w:val="left"/>
        <w:rPr/>
      </w:pPr>
      <w:r>
        <w:rPr>
          <w:color w:val="000000"/>
        </w:rPr>
        <w:t>•</w:t>
      </w:r>
      <w:r>
        <w:rPr>
          <w:rFonts w:ascii="Times New Roman;serif" w:hAnsi="Times New Roman;serif"/>
          <w:b w:val="false"/>
          <w:color w:val="000000"/>
          <w:sz w:val="20"/>
        </w:rPr>
        <w:t xml:space="preserve">we may have to amend clinical trial protocols or conduct additional studies to reflect changes in regulatory requirements or guidance, which we may be required to submit to an IRB, ethics committee or regulatory authority for re-examination; </w:t>
      </w:r>
    </w:p>
    <w:p>
      <w:pPr>
        <w:pStyle w:val="TextBody"/>
        <w:bidi w:val="0"/>
        <w:spacing w:lineRule="auto" w:line="268" w:before="0" w:after="240"/>
        <w:ind w:left="0" w:right="0" w:hanging="360"/>
        <w:jc w:val="left"/>
        <w:rPr/>
      </w:pPr>
      <w:r>
        <w:rPr>
          <w:color w:val="000000"/>
        </w:rPr>
        <w:t>•</w:t>
      </w:r>
      <w:r>
        <w:rPr>
          <w:rFonts w:ascii="Times New Roman;serif" w:hAnsi="Times New Roman;serif"/>
          <w:b w:val="false"/>
          <w:color w:val="000000"/>
          <w:sz w:val="20"/>
        </w:rPr>
        <w:t xml:space="preserve">regulators, IRBs, ethics committees, or other parties may require or recommend that we or our investigators suspend, vary or terminate clinical research for various reasons, including safety signals or noncompliance with regulatory requirements;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the cost of clinical trials may be greater than we anticipate;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clinical sites may not adhere to the clinical protocol or may drop out of a clinical trial;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we may be unable to recruit a sufficient number of clinical trial sites; </w:t>
      </w:r>
    </w:p>
    <w:p>
      <w:pPr>
        <w:pStyle w:val="TextBody"/>
        <w:bidi w:val="0"/>
        <w:spacing w:lineRule="auto" w:line="268" w:before="0" w:after="240"/>
        <w:ind w:left="0" w:right="0" w:hanging="360"/>
        <w:jc w:val="left"/>
        <w:rPr/>
      </w:pPr>
      <w:r>
        <w:rPr>
          <w:color w:val="000000"/>
        </w:rPr>
        <w:t>•</w:t>
      </w:r>
      <w:r>
        <w:rPr>
          <w:rFonts w:ascii="Times New Roman;serif" w:hAnsi="Times New Roman;serif"/>
          <w:b w:val="false"/>
          <w:color w:val="000000"/>
          <w:sz w:val="20"/>
        </w:rPr>
        <w:t xml:space="preserve">regulators, IRBs, ethics committees or other reviewing bodies may fail to approve or subsequently find fault with our manufacturing processes or facilities of third-party supplier with which we enter into agreement for clinical and commercial supplies, the supply of devices or other materials necessary to conduct clinical trials may be insufficient, inadequate or not available at an acceptable cost, or we may experience interruptions in supply;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approval policies or regulations of the FDA or applicable foreign regulatory authorities may change in a manner rendering our clinical data insufficient for approval; and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our current or future products may have undesirable side effects or other unexpected characteristics.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approved for the indications we are investigating. For example, patients may be discouraged from enrolling in our clinical trials if the trial protocol requires them to undergo extensive post-treatment procedures or follow-up to assess the safety and efficacy of a product candidate, or they may be persuaded to participate in contemporaneous clinical trials of a competitor’s product candidate or provider’s competing clinical trial. In addition, patients participating in our clinical trials may drop out before completion of the trial or experience adverse medical events unrelated to our products. Delays in patient enrollment or failure of patients to continue to participate in any of our clinical trials may delay commencement or completion of the clinical trial, cause an increase in the costs of the clinical trial and delays, or result in the failure of the clinical trial.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Clinical trials must be conducted in accordance with the laws and regulations of the FDA and other applicable regulatory authorities’ legal requirements, regulations or guidelines, and are subject to oversight by these governmental authorities and IRBs or ethics committees at the medical institutions where the clinical trials are conducted. In addition, clinical trials must be conducted with supplies of our devices produced under current good manufacturing practice, requirements and other regulations. Furthermore, we may rely on CROs, and clinical trial sites to ensure the proper and timely conduct of our clinical trials and we may have limited influence over their actual performance. We depend on our collaborators and on medical institutions and CROs to conduct our clinical trials in compliance with good clinical practice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Even if our future products are cleared or approved in the United States, commercialization of our products in foreign countries would require clearance, certification or approval by regulatory authorities in those countries. Clearance, certification or approval procedures vary among jurisdictions and can involve requirements and administrative review periods different from, and greater than, those in the United States, including additional preclinical studies or clinical trials. Any of these occurrences could have an adverse effect on our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Our products may cause or contribute to adverse medical events or be subject to failures or malfunctions that we are required to report to the FDA and comparable foreign regulatory authorities, and if we fail to do so, we would be subject to sanctions that could negatively affect our business, financial condition and results of operations.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required to file various reports with the FDA, national competent authorities of EU Member States and comparable foreign regulatory authorities, including reports required by the MDRs and the (EU) MDR that require that we report to the regulatory authorities if our solutions may have caused or contributed to a death or serious injury or malfunctioned in a way that would likely cause or contribute to a death or serious injury if the malfunction were to recur and we have filed such reports in the past.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these reports are not filed in a timely manner, regulators may impose sanctions and we may be subject to product liability or regulatory enforcement actions, all of which will negatively affect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If we initiate a correction or removal for the Zephyr Valve to reduce a risk to health posed by it, we would be required to submit a publicly available correction and removal report to the FDA and, in many cases, similar reports to other regulatory authorities. This report could be classified by the FDA or comparable foreign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authorities as a device recall which could lead to increased scrutiny by the FDA, other foreign regulatory authorities and our customers regarding the quality and safety of our solutions. Furthermore, the submission of these reports could be used by competitors against us and cause physicians to delay or cancel prescriptions, which will harm our reputation.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we assess a potential quality issue or complaint as not requiring either field action or notification, respectively, regulators may review documentation of that decision during a subsequent audit. If regulators disagree with our decision, or take issue with either our investigation process or the resulting documentation, regulatory agencies may impose sanctions and we may be subject to regulatory enforcement actions, including warning letters, all of which will negatively affect our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If we do not obtain and maintain international regulatory registrations, certification or approvals for our products, we will be unable to market and sell our products outside of the United States.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Sales of our products outside of the United States are subject to foreign regulatory requirements that vary widely from country to country. In addition, the FDA regulates exports of medical devices from the United States. While the regulations of some countries may not impose barriers to marketing and selling our products or only require notification, others require that we obtain the approval of a specified regulatory body. Complying with foreign regulatory requirements, including obtaining registrations, certification or approvals, can be expensive and time-consuming, and we may not receive regulatory approvals or certification in each country in which we plan to market our products, or we may be unable to do so on a timely basis. The time required to obtain registrations, certification or approvals, if required by other countries, may be longer than that required for FDA approval, and requirements for such registrations, clearances, certification or approvals may significantly differ from FDA requirements. If we modify our products, we may need to apply for additional regulatory approvals or certification before we are permitted to sell the modified product. In addition, we may not continue to meet the quality and safety standards required to maintain the authorizations or certification that we have received. If we are unable to maintain our authorizations or certification in a particular country, we will no longer be able to sell the applicable product in that country.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Regulatory approval by the FDA does not ensure registration, clearance, certification or approval by regulatory authorities in other countries, and registration, clearance, certification or approval by one or more foreign regulatory authorities does not ensure registration, clearance or approval by regulatory authorities in other foreign countries or by the FDA. However, a failure or delay in obtaining registration, certification or regulatory clearance or approval in one country may have a negative effect on the regulatory process in others.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Healthcare reform measures could hinder or prevent the commercial success of our solutions.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United States, there have been, and we expect there will continue to be, a number of legislative and regulatory changes to the healthcare system in ways that will harm our future revenues and profitability and the demand for our solutions.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procedures associated with the use of our products. The cost containment measures that payors and providers are instituting and the effect of any healthcare reform initiative implemented in the future could impact our revenue from the sale of our products. For example, the Affordable Care Act contains a number of provisions that continue to impact the healthcare industry.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executive, judicial and congressional challenges and amendments to certain aspects of the Affordable Care Act. On August 16, 2022, the Inflation Reduction Act of 2022 (“IRA”) was signed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through a newly established manufacturer discount program. It is possible that the Affordable Care Act will be subject to judicial or congressional challenges in the future, including congressional legislation to modify or replace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Affordable Care Act or elements of the Affordable Care Act. It is unclear how any such challenges and the healthcare reform measures of the current administration will impact the Affordable Care Act and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other legislative changes have been proposed and adopted since the Affordable Care Act was enacted. For example, the Budget Control Act of 2011, among other things, included reductions to CMS payments to providers of 2% per fiscal year, which went into effect on April 1, 2013 and, due to subsequent legislative amendments to the statute, will remain in effect until 2032 unless additional congressional action is taken.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current administration and Congress may pursue significant changes to the current healthcare laws. The impact of those changes on us and potential effect on the medical device industry as a whole is currently unknown. Any changes to the Affordable Care Act are likely to have an impact on our results of operations, and may negatively affect our business, financial condition and results of operations. We cannot predict what other healthcare programs and regulations will ultimately be implemented at the federal or state level or the effect of any future legislation or regulation in the United States may negatively affect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continuing efforts of the government, insurance companies, managed care organizations and other payors of healthcare services to contain or reduce costs of healthcare will harm:</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ability to set a price that we believe is fair for the Zephyr Valve;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ability to generate revenue and achieve or maintain profitability;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availability of capital.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Changes in healthcare policy could increase our costs and subject us to additional regulatory requirements that may interrupt commercialization of our current and future solutions. In addition, changes in healthcare policy could increase our costs, decrease our revenue and impact sales of and reimbursement for our current and future products.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and the third parties with whom we work are subject to stringent and evolving obligations related to data privacy and information security. Our (or the third parties with whom we work) actual or perceived failure to comply with such obligations could lead to regulatory investigations or actions; litigation; fines and penalties; a disruption of our business operations; reputational harm; loss of revenue or profits; loss of customers; and other adverse business impacts.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we or the third parties with whom we work, may collect, store, generate, use, transfer, disclose, make accessible, protect, secure, dispose of, transmit, share or otherwise process proprietary, confidential, and sensitive data (including but not limited to intellectual property, proprietary business information, and personal data including PHI).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diverse laws and regulations relating to data privacy and information security. Our data processing activities may also subject us to numerous other data privacy and information security obligations, such as external and internal privacy and security policies, contracts, and other obligations that govern the processing of personal data by us and on our behalf. In addition, privacy advocates and industry groups have proposed, and may propose in the future, standards by which we are legally or contractually bound to comply.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New data privacy and information security laws are being enacted in the United States on the federal, state, and local levels, and existing ones are being updated and strengthened. Numerous U.S. states have enacted comprehensive privacy laws that impose certain obligations on covered business, including providing specific disclosures in privacy notices and affording residents with certain rights concerning their personal data. For example, the California Consumer Privacy Act (“CCPA”) went into effect on January 1, 2020 and requires companies that process personal data on California residents to make new disclosures to consumers about their data collection, use and sharing practices, and allow consumers to opt out of certain data sharing with third parties. The CCPA also provides for civil penalties for violations (up to $7,500 per intentional violation), as well as a private right of action for certain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breaches that is expected to increase data breach litigation. Similar laws are being considered in several other states, as well as at the federal and local levels, and we expect more states to pass similar laws in the future. While these states, like the CCPA, also exempt some data processed in the context of clinical trials, these developments further complicate compliance efforts, and increase legal risk and compliance costs for us and the third parties with whom we work. Complying with these numerous, complex and often changing regulations is expensive and difficult, and failure to comply with any data privacy and information security laws or any security incident or breach involving the misappropriation, loss or other unauthorized use or disclosure of sensitive data, such as personal data, confidential patient or consumer information, whether by us, one of our business associates or another third-party, could negatively affect our business, financial condition and results of operations, including but not limited to: investigation costs, material fines and penalties; compensatory, special, punitive and statutory damages; litigation; consent orders regarding our privacy and security practices; requirements that we provide notices, credit monitoring services or credit restoration services or other relevant services to impacted individuals; adverse actions against our licenses to do business; and injunctive relief.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Outside the United States, an increasing number of laws, regulations, and industry standards govern data privacy and information security. For example, the European Union’s General Data Protection Regulation (“EU GDPR”), the United Kingdom’s GDPR (“UK GDPR”) (collectively, “GDPR”) governs the processing (which can include any action, such as collection, use, storage adaptation or alteration, disclosure or transfer) of personal data relating to individuals located in Europe (including the UK). Among other things, the GDPR sets out extensive compliance requirements, including providing detailed disclosures about how personal data is collected and processed, demonstrating that an appropriate legal basis is in place to justify data processing activities; granting various rights for data subjects in regard to their personal data, such as the right to delete certain personal data, as well as enhancing pre-existing rights (e.g., data subject access requests); introducing the obligation to notify data protection regulators or supervisory authorities (and in certain cases, affected individuals) of significant data breaches; imposing limitations on retention of personal data; maintaining a record of data processing; complying with the principle of accountability and the obligation to demonstrate compliance through policies, procedures, training and audit; and expanding the definition of personal data to include coded data and requiring changes to informed consent practices, as well as more detailed notices for clinical trial subjects and investigators. The GDPR imposes substantial fines for breaches and violations (up to the greater of €20 million, £17.5 million, or, in each case, 4% of our global turnover, whichever is greater), and companies may also face temporary or definitive bans on data processing and other corrective actions. The GDPR also confers a private right of action on data subjects and consumer associations to lodge complaints with supervisory authorities, seek judicial remedies and obtain compensation for damages resulting from violations of the GDPR.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pStyle w:val="TextBody"/>
        <w:bidi w:val="0"/>
        <w:spacing w:lineRule="auto" w:line="288" w:before="0" w:after="240"/>
        <w:jc w:val="left"/>
        <w:rPr/>
      </w:pPr>
      <w:r>
        <w:rPr>
          <w:rFonts w:ascii="Times New Roman;serif" w:hAnsi="Times New Roman;serif"/>
          <w:b w:val="false"/>
          <w:color w:val="000000"/>
          <w:sz w:val="20"/>
        </w:rPr>
        <w:t>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w:t>
      </w:r>
      <w:r>
        <w:rPr>
          <w:color w:val="000000"/>
        </w:rPr>
        <w:t xml:space="preserve"> </w:t>
      </w:r>
      <w:r>
        <w:rPr>
          <w:rFonts w:ascii="Times New Roman;serif" w:hAnsi="Times New Roman;serif"/>
          <w:b w:val="false"/>
          <w:color w:val="000000"/>
          <w:sz w:val="20"/>
        </w:rPr>
        <w:t xml:space="preserve">Additionally, companies that transfer personal data out of the EEA and UK to other jurisdictions, particularly to the United States, are subject to increased scrutiny from regulators, individual litigants, and activist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0"/>
        </w:rPr>
        <w:t>groups.</w:t>
      </w:r>
      <w:r>
        <w:rPr>
          <w:color w:val="000000"/>
        </w:rPr>
        <w:t xml:space="preserve"> </w:t>
      </w:r>
      <w:r>
        <w:rPr>
          <w:rFonts w:ascii="Times New Roman;serif" w:hAnsi="Times New Roman;serif"/>
          <w:b w:val="false"/>
          <w:color w:val="000000"/>
          <w:sz w:val="20"/>
        </w:rPr>
        <w:t>Some European regulators have ordered certain companies to suspend or permanently cease certain transfers out of Europe for allegedly violating the GDPR’s cross-border data transfer limitations.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employment of certain individuals, and investor agreements. Violations of the rule could lead to significant civil and criminal fines and penalties. The rule applies regardless of whether data is anonymized, key-coded, pseudonymized, de-identified or encrypted.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cannot assure you that our third-party service providers with access to our or our customers’, suppliers’, trial patients’ and employees’ personal data and other sensitive or confidential information in relation to which we are responsible will not breach contractual obligations imposed by us, or that they will not experience security incidents or attempts thereof, which could have a corresponding effect on our business, including putting us in breach of our obligations under privacy and information security laws and regulations, which could in turn adversely affect our business, results of operations and financial condition. We cannot assure you that our contractual measures and our own privacy and information security-related safeguards will protect us from the risks associated with the third-party processing, storage, and transmission of such information. We publish privacy policies, marketing materials, white papers and other statements, such as statements related to compliance with certain certifications or self-regulatory principles, concerning data privacy, information security and artificial intelligence.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Moreover, complying with the various data privacy and information security laws that are applicable to us could require us to take on more onerous obligations in our contracts, restrict our ability to collect, use and disclose data, or in some cases, impact our ability to operate in certain jurisdictions. In addition, these obligations may require us to change our business model. Any failure (or perceived failure) to comply could result in government enforcement actions (which could include civil or criminal penalties), private litigation and mass arbitration demands, additional reporting requirements and/or oversight, bans or restrictions on processing personal data, orders to destroy or not use personal data, imprisonment of company officials, and/or adverse publicity and could negatively affect our operating results and business.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Claims that we have violated individuals’ privacy rights, failed to comply with privacy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employees and personnel use generative AI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Several jurisdictions around the globe, including Europe and certain U.S. states, have proposed or enacted laws governing AI technologies. For example, European regulators enacted a stringent AI regulation, and we expect other jurisdictions will adopt similar laws. Additionally, certain privacy laws extend rights to consumers (such as the right to delete certain personal data) and regulate automated decision making, which may be incompatible with our use of AI. These obligations may make it harder for us to conduct our business using AI, lead to regulatory fines or penalties, require us to change our business practices, retrain our AI, or prevent or limit our use of AI. For example,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FTC has required other companies to turn over (or disgorge) valuable insights or trainings generated through the use of AI where they allege the company has violated privacy and consumer protection laws. If we cannot use AI or that use is restricted, our business may be less efficient, or we may be at a competitive disadvantage.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face potential liability related to the privacy of health information we obtain.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Most healthcare providers, including hospitals from which we obtain patient health information, are subject to privacy and security regulations promulgated under HIPAA, as amended by the HITECH. As a result of our LungTraX Platform, we may be considered a Business Associate under HIPAA in some circumstances where we would be subjected to its requirements and significant penalties as well as related contractual obligations. As a Business Associate, we would be responsible for implementing reasonable administrative, physical and technical safeguards as required by HIPAA, including, among other things, maintaining Business Associate Agreements with our customers and our subcontractors that have access to protected health information on our behalf. Moreover,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we may maintain sensitive personally identifiable information, including health information, that we receive during the clinical trial process, through our research collaborations, via our LungTraX Platform, and directly from individuals (or their healthcare providers) who enroll in our patient reimbursement support programs. As such, we may be subject to state laws requiring notification of affected individuals and state regulators in the event of a breach of personal data, which is a broader class of information than the health information protected by HIPAA. Our clinical trial programs outside the United States may implicate international data protection laws, including the GDPR and national legislation of European Union Member States or the UK.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activities outside the United States impose additional compliance requirements and generate additional risks of enforcement for noncompliance. Failure by third-party contractors to comply with the strict rules on the transfer of personal data outside of the European Union into the United States may result in the imposition of criminal and administrative sanctions on such collaborators, which could adversely affect our business. Furthermore, certain health privacy laws, data breach notification laws, consumer protection laws and genetic testing laws may apply directly to our operations or those of our collaborators and may impose restrictions on our collection, use and dissemination of individuals’ health information.</w:t>
      </w:r>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 xml:space="preserve">Moreover,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 consuming to defend and could result in adverse publicity that could negatively affect our business, financial condition and results of operations. If we or third-party contractors or consultants fail to comply with applicable federal, state or local regulatory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employees, consultants, and other commercial partners may engage in misconduct or other improper activities, including non-compliance with regulatory standards and requirements.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that our employees, consultants, and other commercial partners and business associates may engage in fraudulent or illegal activity. Misconduct by these parties could include intentional, reckless or negligent conduct or other unauthorized activities that violate the regulations of the FDA and non-U.S. regulators,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including those laws requiring the reporting of true, complete and accurate information to such regulators, manufacturing standards, healthcare fraud and abuse laws and regulations in the United States and internationally or laws that require the true, complete and accurate reporting of financial information or data. In particular, sales, marketing and business arrangements in the healthcare industry, including the sale of medical devices,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consultants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possible exclusion from participation in Medicare, Medicaid and other federal healthcare programs, or comparable foreign programs,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 investigations, we could incur substantial costs, including legal fees and reputational harm, and divert the attention of management in defending ourselves against any of these claims or investigations.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Compliance with environmental laws and regulations could be expensive, and the failure to comply with these laws and regulations could subject us to significant liability.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research, development and manufacturing operations involve the use of hazardous substances, and we are subject to a variety of federal, state, local and foreign environmental laws and regulations relating to the storage, use, handling, generation, manufacture, treatment, discharge and disposal of hazardous substances. Our products may also contain hazardous substances, and they are subject to laws and regulations relating to labeling requirements and to their sale, collection, recycling, treatment, storage and disposal. Compliance with these laws and regulations may be expensive and noncompliance could result in substantial fines and penalties. Environmental laws and regulations also impose liability for the remediation of releases of hazardous substances into the environment and for personal injuries resulting from exposure to hazardous substances, and they can give rise to substantial remediation costs and to third-party claims, including for property damage and personal injury. Liability under environmental laws and regulations can be joint and several and without regard to fault or negligence, and they tend to become more stringent over time, imposing greater compliance costs and increased risks and penalties associated with violations. We cannot assure you that violations of these laws and regulations, or releases of or exposure to hazardous substances, will not occur in the future or have not occurred in the past, including as a result of human error, accidents, equipment failure or other causes. The costs of complying with environmental laws and regulations, and liabilities that may be imposed for violating them, or for remediation obligations or responding to third-party claims, could negatively affect our business, financial condition and results of operations.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become involved in intellectual property litigation, infringement claims, or administrative proceedings that could be costly and could interfere with our ability to sell and market our products.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or export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products or to use our technologies or product names.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The defense of these matters can be time consuming, costly to defend in litigation, divert management’s attention and resources, damage our reputation and brand and cause us to incur significant expenses or make substantial payments. Vendors from whom we purchase hardware or software may not indemnify us in the event that such hardware or software is accused of infringing a third-party’s patent or trademark or of misappropriating a third-party’s trade secret.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Since patent applications are confidential for a period of time after filing, we cannot be certain that we were the first to file any patent application related to our products.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 Because we have not conducted a formal freedom to operate analysis for patents related to our products, we may not be aware of issued patents that a third party might assert are infringed by one of our current products or future product candidates, which could materially impair our ability to commercialize our products or product candidates. Even if we diligently search third-party patents for potential infringement by our products or product candidates, we may not successfully find patents that our products or product candidates may infringe. If we are unable to secure and maintain freedom to operate, others could preclude us from commercializing our products or product candidates.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we may in the future be subject to claims by our former employees or consultants asserting an ownership right in our patents, patent applications or other intellectual property, as a result of the work they performed on our behalf. Although we generally require all of our employees and consultants and any other partners or collaborators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Any lawsuits relating to intellectual property rights could subject us to significant liability for damages and invalidate our proprietary rights. Any potential intellectual property litigation also could force us to do one or more of the following: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stop making, selling or using products or technologies that allegedly infringe the asserted intellectual property;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lose the opportunity to license our intellectual property to others or to collect royalty payments based upon successful protection and assertion of our intellectual property rights against others; incur significant legal expenses;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pay substantial damages or royalties to the party whose intellectual property rights we may be found to be infringing;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pay the attorney’s fees and costs of litigation to the party whose intellectual property rights we may be found to be infringing;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redesign those products or technologies that contain the allegedly infringing intellectual property, which could be costly, disruptive and infeasible;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attempt to obtain a license to the relevant intellectual property from third parties, which may not be available on reasonable terms or at all, or from third parties who may attempt to license rights that they do not have.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if we are found to willfully infringe third-party patents or trademarks or to have misappropriated trade secrets, we could be required to pay treble damages in addition to other penalties. Although patent, trademark, trade secret, and other intellectual property disputes in the medical device area have often been settled through licensing or similar arrangements, costs associated with such arrangements may be substantial and could include ongoing royalties. We may be unable to obtain necessary licenses on satisfactory terms, if at all. If we do not obtain necessary licenses, we may not be able to redesign our products to avoid infringement.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Any litigation or claim against us, even those without merit and even those where we prevail, may cause us to incur substantial costs, and could place a significant strain on our financial resources, divert the attention of management from our core business and harm our reputation. If we are found to infringe the intellectual property rights of third parties, we could be required to pay substantial damages (which may be increased up to three times of awarded damages) or substantial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We could encounter delays in product introductions while we attempt to develop alternative methods or products. If we fail to obtain any required licenses or make any necessary changes to our products or technologies, we may have to withdraw existing products from the market or may be unable to commercialize one or more of our products.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we generally indemnify our customers with respect to infringement by our products of the proprietary rights of third parties. Third parties may assert infringement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Similarly, interference or derivation proceedings provoked by third parties or brought by the U.S. Patent and Trademark Office (“USPTO”) may be necessary to determine priority with respect to our patents, patent applications, trademarks or trademark applications. We may also become involved in other proceedings, such as reexamination, inter parties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Additionally, we may file lawsuits or initiate other proceedings to protect or enforce our patents or other intellectual property rights, which could be expensive, time consuming and unsuccessful. Competitors may infringe our issued patents or other intellectual property.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In addition, in a patent or other intellectual property infringement proceeding, a court may decide that a patent or other intellectual property of ours is invalid or unenforceable, in whole or in part, construe the patent’s claims or other intellectual property narrowly or refuse to stop the other party from using the technology at issue on the grounds that our patents or other intellectual property do not cover the technology in question. Furthermore, even if our patents or other intellectual property are found to be valid and infringed, a court may refuse to grant injunctive relief against the infringer and instead grant us monetary damages or ongoing royalties. Such monetary compensation may be insufficient to adequately offset the damage to our business caused by the infringer’s competition in the market. An adverse result in any litigation proceeding could put one or more of our patents or other intellectual property at risk of being invalidated or interpreted narrowly, which could adversely affect our competitive business position,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success will depend on our, and any of our current and future licensors’, ability to obtain, maintain and protect our intellectual property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order to remain competitive, we must develop, maintain and protect the proprietary aspects of our brands, technologies and data. We rely on a combination of contractual provisions, confidentiality procedures and patent, copyright, trademark, trade secret and other intellectual property laws to protect the proprietary aspects of our brands, technologies and data. These legal measures afford only limited protection, and competitors or others may gain access to or use our intellectual property and proprietary information. Our success will depend, in part, on preserving our trade secrets, maintaining the security of our data and know-how and obtaining and maintaining other intellectual property rights by us and our current and future licensors. We, and our current and future licensors, may not be able to obtain or maintain intellectual property or other proprietary rights necessary to our business or in a form that provides us with a competitive advantage.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our trade secrets, data and know-how could be subject to unauthorized use, misappropriation, or disclosure to unauthorized parties, despite our efforts to enter into confidentiality agreements with our employees, consultants, clients and other vendors who have access to such information, and could otherwise become known or be independently discovered by third parties. Our intellectual property, including trademarks, could be challenged, invalidated, infringed, and circumvented by third parties, and our trademarks could also be diluted, declared generic or found to be infringing on other marks. If any of the foregoing occurs,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 Failure to obtain and maintain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trademarks, data, technology and other intellectual property and services, and may not provide an adequate remedy if our intellectual property rights are infringed, misappropriated or otherwise violated.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rely, in part, on our ability to obtain, maintain, expand, enforce, and defend the scope of our intellectual property portfolio or other proprietary rights, including the amount and timing of any payments we may be required to make in connection with the licensing, filing, defense and enforcement of any patents or other intellectual property rights. The process of applying for and obtaining a patent is expensive, time 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proprietary rights at all. Despite our efforts to protect our proprietary rights, unauthorized parties may be able to obtain and use information that we regard as proprietary. In addition, the issuance of a patent does not ensure that it is valid or enforceable, so even if we obtain patents, they may not be valid or enforceable against third parties. Our patent applications may not result in issued patents and our patents may not be sufficiently broad to protect our technology.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degree of future protection for our proprietary rights is uncertain, and we cannot ensure that: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of our patents, or any of our pending patent applications, if issued, will include claims having a scope sufficient to protect our products;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of our pending patent applications will issue as patents;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will be able to successfully commercialize our products on a substantial scale, if approved, before our relevant patents we may have expire;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were the first to make the inventions covered by each of our patents and pending patent applications;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were the first to file patent applications for these inventions;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others will not develop similar or alternative technologies that do not infringe our patents; any of our patents will be found to ultimately be valid and enforceable;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patents issued to us will provide a basis for an exclusive market for our commercially viable products, will provide us with any competitive advantages or will not be challenged by third parties;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will develop additional proprietary technologies or products that are separately patentable;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commercial activities or products will not infringe upon the patents of others.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Moreover, even if we are able to obtain patent protection, such patent protection may be of insufficient scope to achieve our business objectives. Issued patents may be challenged, narrowed, invalidated or circumvented. Decisions by courts and governmental patent agencies may introduce uncertainty in the enforceability or scope of patents owned by or licensed to us. Furthermore, the issuance of a patent does not give us the right to practice the patented invention. Third parties may have blocking patents that could prevent us from marketing our own products and practicing our own technology. Alternatively, third parties may seek approval to market their own products similar to or otherwise competitive with our products. In these circumstances, we may need to defend or assert our patents, including by filing lawsuits alleging patent infringement. In any of these types of proceedings, a court or agency with jurisdiction may find our patents invalid, unenforceable or not infringed; competitors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are unable to protect the confidentiality of our other proprietary information, our business and competitive position may be harmed.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to patent protection, we also rely on other proprietary rights, including protection of trade secrets, and other proprietary information that is not patentable or that we elect not to patent. However, trade secrets can be difficult to protect, and some courts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also license rights to use certain proprietary information and technology from third parties. The use of such proprietary information and technology is therefore subject to the obligations of the applicable license agreement between us and the owner. For example, the software we developed for the Chartis System includes the use of open source software that is subject to the terms and conditions of the applicable open source software licenses that grant us permission to use such software. The owner of any such proprietary information or technology also might not enforce or otherwise protect its rights in the proprietary information or technology with the same vigilance that we would, which would allow competitors to use such proprietary information and technology without having to adhere to a license agreement with the owner.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the extent our intellectual property or other proprietary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Further, it is possible that others will independently develop the same or similar technology or product or otherwise obtain access to our unpatented technology, and in such cases, we could not assert any trade secret rights against such parties.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or products similar to ours or competing technologies or products,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w:t>
        <w:noBreakHyphen/>
        <w:t>compliance with these requirements.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w:t>
        <w:noBreakHyphen/>
        <w:t>compliance events that could result in abandonment or lapse of a patent or patent application include, but are not limited to, failure to respond to official actions within prescribed time limits, non</w:t>
        <w:noBreakHyphen/>
        <w:t>payment of fees and failure to properly legalize and submit formal documents. If we fail to maintain the patents and patent applications covering our products, we may not be able to stop a competitor from marketing products that are the same as or similar to our products, which would have a material adverse effect on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not be able to protect our intellectual property rights throughout the world.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company may attempt to commercialize competing products utilizing our proprietary design, trademarks or tradenames in foreign countries where we do not have any patents or patent applications and where legal recourse may be limited. This may have a significant commercial impact on our foreign business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Filing, prosecuting and defending patents or trademarks on our current and future products in all countries throughout the world would be prohibitively expensive. The requirements for patentability and trademarking may differ in certain countries, particularly developing countries. The laws of some foreign countries do not protect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intellectual property rights to the same extent as laws in the United States. Consequently, we may not be able to prevent third parties from utilizing our inventions and trademarks in all countries outside the United States. Competitors may use our technologies or trademarks in jurisdictions where we have not obtained patent or trademark protection to develop or market their own products and further, may export otherwise infringing products to territories where we have patent and trademark protection, but enforcement on infringing activities is inadequate. These products or trademarks may compete with our products or trademarks, and our patents, trademarks or other intellectual property rights may not be effective or sufficient to prevent them from competing.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trademarks and other intellectual property protection, which could make it difficult for us to stop the infringement of our patents and trademarks or marketing of competing products in violation of our proprietary rights generally. Proceedings to enforce our patent and trademarks rights in foreign jurisdictions could result in substantial costs and divert our efforts and attention from other aspects of our business, could put our patents and trademarks at risk of being invalidated or interpreted narrowly and our patent or trademark applications at risk, and could provoke third parties to assert claims against us. We may not prevail in any lawsuits that we initiate, and the damages or other remedies awarded, if any, may not be commercially meaningful. In addition,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 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personnel. A loss of key personnel or their work product could hamper or prevent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commercialize our products, which could have an adverse effect on our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Changes in patent law could diminish the value of patents in general, thereby impairing our ability to protect our existing and future products.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Recent 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failure of third parties to meet their contractual, regulatory and other obligations could adversely affect our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rely on suppliers, vendors, outsourcing partners, consultants, alliance partners and other third parties to research, develop, manufacture and commercialize our products and manage certain parts of our business.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materially affect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our trademarks and tradenames are not adequately protected, then we may not be able to build name recognition in our markets and our business may be adversely affected.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trademarks, service marks, tradenames and brand names to distinguish our products from the products of our competitors and have registered or applied to register these trademarks. We have not yet registered certain of our trademarks and as a result we sell certain products using names that may not be protected or may be subject to third party challenges for infringement of such third party’s trademarks. We cannot assure you that our trademark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applications will be approved.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towards advertising and marketing new brands.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and our business, financial condition and results of operations may be adversely affected.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Patent terms may not be able to protect our competitive position for an adequate period of time with respect to our current or future technologies.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Patents have a limited lifespan. In the United States, the standard patent term is typically 20 years after filing. Various extensions may be available. Even so, the life of a patent and the protection it affords are limited. As a result, our patent portfolio provides us with limited rights that may not last for a sufficient period of time to exclude others from commercializing products similar or identical to ours. For example, given the large amount of time required for the research, development, testing and regulatory review of implantable medical devices, patents protecting our products might expire before or shortly after they are commercialized.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Extensions of patent term may be available, but there is no guarantee that we would succeed in obtaining any particular extension-and no guarantee any such extension would confer patent term for a sufficient period of time to exclude others from commercializing products similar or identical to ours. In the United States, 35 U.S. Code § 156 Extension of patent term, permits a patent term extension of up to five years beyond the normal expiration of the patent, which is limited to the approved indication (or any additional indications approved during the period of extension). A patent term extension cannot extend the remaining term of a patent beyond 14 years from the date of product approval; only one patent may be extended; and extension is available for only those claims covering the approved device, a method for using it, or a method for manufacturing it. We have applied for such an extension however, the applicable authorities, including the FDA and the USPTO in the United States, and any equivalent regulatory authority in other countries, may not agree with our assessment of whether such extensions are available, and may refuse to grant extensions to any patents we obtain, or may grant more limited extensions than we request. An extension may not be granted or may be limited where there is, for example, a failure to exercise due diligence during the testing phase or regulatory review process, failure to apply within applicable deadlines, failure to apply before expiration of relevant patents, or some other failure to satisfy applicable requirements. If this occurs, our competitors may be able to launch their products earlier by taking advantage of our investment in development and clinical trials along with our clinical and pre-clinical data. This could have a material adverse effect on our business and ability to achieve profitability.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stock price may be volatile and the value of our common stock may decline.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be highly volatile and may fluctuate or decline substantially as a result of a variety of factors, some of which are beyond our control or are related in complex ways, including: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actual or anticipated fluctuations in our financial condition and results of operations;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variance in our financial performance from expectations of securities analysts or investors;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degree to which securities or industry analysts publish research or reports about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rPr>
        <w:t>changes in the pricing we offer our customers;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changes in our projected operating and financial results;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changes in laws or regulations applicable to our solution;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announcements by us or our competitors of significant business developments, acquisitions, or new offerings;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publicity associated with issues related to our solution;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involvement in litigation;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future sales of our common stock or other securities, by us or our stockholders;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changes in senior management or key personnel;</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trading volume of our common stock;</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changes in the anticipated future size and growth rate of our market;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general economic, regulatory, and market conditions, including inflation, high interest rates, economic recessions or economic slowdowns;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changes in the structure of healthcare payment systems;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developments or disputes concerning our intellectual property or other proprietary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Broad market and industry fluctuations, as well as general economic, political, regulatory, and market conditions, may negatively impact the market price of our common stock. In addition, given the relatively small expected public float of shares of our common stock on the Nasdaq Global Select Market, the trading market for our shares may be subject to increased volatility.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Future sales and issuances of our capital stock or rights to purchase capital stock could result in additional dilution of the percentage ownership of our stockholders and could cause the price of our common stock to decline.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Future sales and issuances of our capital stock or rights to purchase our capital stock could result in substantial dilution to our existing stockholders. We may sell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common stock.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Future sales of our common stock by existing stockholders could cause the market price of our common stock to decline.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common stock by existing stockholders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do not intend to pay dividends for the foreseeable future and, as a result, your ability to achieve a return on your investment will depend on appreciation in the price of our 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credit facility. Accordingly, investors must rely on sales of their common stock after price appreciation, which may never occur, as the only way to realize any future gains on their investments.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have incurred, and will continue to incur, increased costs as a public company, and our management has devoted, and will continue to devote, substantial time to compliance with our public company responsibilities and corporate governance practices.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Sarbanes-Oxley Act, the Dodd-Frank Wall Street Reform and Consumer Protection Act, the listing requirements of the Nasdaq Global Select Market, and other applicable securities rules and regulations. Furthermore, the senior members of our management team do not have significant experience with operating a public company. As a result, our management and other personnel have devoted, and continue to devote, a substantial amount of time to compliance with these requirements. Moreover, compliance with these rules and regulations increase our legal and financial costs and make some activities more time-consuming and costly. In addition, changing laws, regulations, and standards relating to corporate governance and public disclosure are creating uncertainty for public companies.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continue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evolving laws, regulations, and standards, regulatory authorities may initiate legal proceedings against us, and our business may be harmed. 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We cannot predict or estimate the amount of additional costs we will incur as a public company or the specific timing of such costs.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Anti-takeover provisions in our charter documents and under Delaware law could make an acquisition of our company more difficult, limit attempts by our stockholders to replace or remove our current management and limit the market price of our 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Provisions in our amended and restated certificate of incorporation and amended and restated bylaws currently in effect may have the effect of delaying or preventing a change of control or changes in our management. Our amended and restated certificate of incorporation and amended and restated bylaws include provisions that: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authorize our board of directors to issue, without further action by the stockholders, shares of undesignated preferred stock with terms, rights, and preferences determined by our board of directors that may be senior to our common stock;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require that any action to be taken by our stockholders be effected at a duly called annual or special meeting and not by written consent;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specify that special meetings of our stockholders can be called only by our board of directors, the chairperson of our board of directors, or our chief executive officer;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establish an advance notice procedure for stockholder proposals to be brought before an annual meeting, including proposed nominations of persons for election to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establish that our board of directors is divided into a number of classes, with each class serving staggered terms;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prohibit cumulative voting in the election of directors;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provide that our directors may be removed for cause only upon the vote of the holders of a majority of our outstanding shares of common stock;</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provide that vacancies on our board of directors may be filled only by a majority of directors then in office, even though less than a quorum;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require the approval of our board of directors or the holders of at least a majority of our outstanding shares of common stock to amend our bylaws and certain provisions of our certificate of incorporation.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the market price of our common stock to decline.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amended and restated certificate of incorporation provides that the Court of Chancery of the State of Delaware and, to the extent enforceable,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the Court of Chancery of the State of Delaware (or, if the Court of Chancery of the State of Delaware lacks subject matter jurisdiction, any state court located within the State of Delaware or, if all such state courts lack subject matter jurisdiction, the federal district court for the District of Delaware) is the sole and exclusive forum for the following types of actions or proceedings under Delaware statutory or common law for: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any derivative action or proceeding brought on our behalf;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any action asserting a breach of fiduciary duty;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action asserting a claim against us arising under the Delaware General Corporation Law;</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amended and restated certificate of incorporation or our amended and restated bylaws;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action asserting a claim against us that is governed by the internal-affairs doctrine.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These provisions do not apply to suits brought to enforce a duty or liability created by the Exchange Act or any claim for which the federal district courts of the United States have exclusive jurisdiction.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Section 22 of the Securities Act creates concurrent jurisdiction for federal and state courts over all such actions under the Securities Act and an investor cannot waive compliance with the federal securities laws and the rules and regulations thereunder. Accordingly, both state and federal courts have jurisdiction to entertain such claims and there is uncertainty as to whether a court would enforce such a forum selection provision as written in connection with claims arising under the Securities Act.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are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0"/>
        </w:rPr>
        <w:t xml:space="preserve">exclusive forum for resolving any complaint asserting a cause of action arising under the Securities Act. Any person or entity purchasing or otherwise acquiring any interest in shares of our capital stock shall be deemed to have notice of and to have consented to the provisions of our amended and restated certificate of incorporation described above.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instance, we would expect to vigorously assert the validity and enforceability of the </w:t>
      </w:r>
      <w:r>
        <w:rPr>
          <w:rFonts w:ascii="Times New Roman;serif" w:hAnsi="Times New Roman;serif"/>
          <w:b w:val="false"/>
          <w:color w:val="212529"/>
          <w:sz w:val="20"/>
        </w:rPr>
        <w:t>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any court were to find either exclusive-forum provision in our amended and restated certificate of incorporation to be inapplicable or unenforceable, we may incur further significant additional costs associated with resolving the dispute in other jurisdictions, which could seriously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Unregistered Sales of Securities and Use of Proceeds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Insider Trading Arrangements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discussion includes trading arrangements adopted or terminated by our directors and officers during the three months ended June 30,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June 11, 2026, Glendon French, our President, Chief Executive Officer, and Director, adopted a new Rule 10b5-1 trading arrangement intended to satisfy the affirmative defense conditions of Rule 10b5-1(c) under the Exchange Act for the sale of up to 360,000 shares of our common stock. The trading arrangement will expire on August 13, 2027, or earlier if all transactions under the trading arrangement are completed or if the trading arrangement is otherwise terminated according to its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7"/>
        <w:gridCol w:w="253"/>
        <w:gridCol w:w="254"/>
        <w:gridCol w:w="109"/>
        <w:gridCol w:w="109"/>
        <w:gridCol w:w="109"/>
        <w:gridCol w:w="1251"/>
        <w:gridCol w:w="1251"/>
        <w:gridCol w:w="1262"/>
        <w:gridCol w:w="109"/>
        <w:gridCol w:w="109"/>
        <w:gridCol w:w="109"/>
        <w:gridCol w:w="268"/>
        <w:gridCol w:w="268"/>
        <w:gridCol w:w="269"/>
        <w:gridCol w:w="113"/>
        <w:gridCol w:w="113"/>
        <w:gridCol w:w="113"/>
        <w:gridCol w:w="246"/>
        <w:gridCol w:w="246"/>
        <w:gridCol w:w="247"/>
        <w:gridCol w:w="113"/>
        <w:gridCol w:w="113"/>
        <w:gridCol w:w="113"/>
        <w:gridCol w:w="210"/>
        <w:gridCol w:w="210"/>
        <w:gridCol w:w="211"/>
        <w:gridCol w:w="109"/>
        <w:gridCol w:w="109"/>
        <w:gridCol w:w="109"/>
        <w:gridCol w:w="195"/>
        <w:gridCol w:w="195"/>
        <w:gridCol w:w="196"/>
        <w:gridCol w:w="109"/>
        <w:gridCol w:w="109"/>
        <w:gridCol w:w="109"/>
        <w:gridCol w:w="260"/>
        <w:gridCol w:w="260"/>
        <w:gridCol w:w="380"/>
      </w:tblGrid>
      <w:tr>
        <w:trPr/>
        <w:tc>
          <w:tcPr>
            <w:tcW w:w="2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Schedule Form</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7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1_1xq226.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1_2xq226.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2_1xq226.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2_2xq226.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with Embedded Linkbase Documents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The certifications furnished in Exhibits 32.1 and 32.2 hereto are deemed to accompany this Quarterly Report on Form 10-Q and will not be deemed “filed” for purposes of Section 18 of the Exchange Act, or otherwise subject to the liability of that section, nor shall they be deemed incorporated by reference into any filing under the Securities Act or the Exchange Act, irrespective of any general incorporation language contained in such filing.</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6268"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177"/>
        <w:gridCol w:w="1177"/>
        <w:gridCol w:w="166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PULMONX CORPORATION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Glendon E. French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Glendon E. French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Chief Executive Officer and Director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03"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126"/>
        <w:gridCol w:w="1126"/>
        <w:gridCol w:w="160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Derrick Sung</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Derrick Sung, Ph.D.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Chief Operating Officer and Chief Financial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Officer</w:t>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Glendon E. French, certify that: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Pulmonx Corporation;</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4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240" w:after="283"/>
        <w:ind w:left="0" w:right="0" w:hanging="490"/>
        <w:jc w:val="left"/>
        <w:rPr/>
      </w:pPr>
      <w:r>
        <w:rPr/>
      </w:r>
    </w:p>
    <w:p>
      <w:pPr>
        <w:pStyle w:val="TextBody"/>
        <w:bidi w:val="0"/>
        <w:ind w:left="0" w:right="0" w:hanging="49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53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1156"/>
        <w:gridCol w:w="1156"/>
        <w:gridCol w:w="164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Glendon E. French</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Glendon E. French</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Derrick Sung, certify that: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Pulmonx Corporation;</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4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0"/>
        <w:ind w:left="0" w:right="0" w:hanging="490"/>
        <w:jc w:val="left"/>
        <w:rPr/>
      </w:pPr>
      <w:r>
        <w:rPr>
          <w:rFonts w:ascii="Times New Roman;serif" w:hAnsi="Times New Roman;serif"/>
          <w:b w:val="false"/>
          <w:color w:val="000000"/>
          <w:sz w:val="20"/>
        </w:rPr>
        <w:t>(b)    </w:t>
      </w:r>
      <w:r>
        <w:rPr>
          <w:rFonts w:ascii="Times New Roman;serif" w:hAnsi="Times New Roman;serif"/>
          <w:b w:val="false"/>
          <w:color w:val="000000"/>
          <w:sz w:val="20"/>
          <w:shd w:fill="FFFFFF" w:val="clea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color w:val="000000"/>
        </w:rPr>
        <w:t xml:space="preserve"> </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240" w:after="283"/>
        <w:ind w:left="0" w:right="0" w:hanging="490"/>
        <w:jc w:val="left"/>
        <w:rPr/>
      </w:pPr>
      <w:r>
        <w:rPr/>
      </w:r>
    </w:p>
    <w:p>
      <w:pPr>
        <w:pStyle w:val="TextBody"/>
        <w:bidi w:val="0"/>
        <w:ind w:left="0" w:right="0" w:hanging="49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88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1260"/>
        <w:gridCol w:w="1260"/>
        <w:gridCol w:w="178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Derrick Sung</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Derrick Sung, Ph.D.</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Operating Officer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Pulmonx Corporation (the “Company”) for the quarterly period ended June 30, 2026 as filed with the Securities and Exchange Commission on the date hereof (the “Report”), I, Glendon E. French, President and Chief Executive Officer of the Company, certify, pursuant to 18 U.S.C. Section 1350, as adopted pursuant to Section 906 of the Sarbanes-Oxley Act of 2002, that to the best of my knowledge:</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490"/>
        <w:jc w:val="left"/>
        <w:rPr/>
      </w:pPr>
      <w:r>
        <w:rPr/>
      </w:r>
    </w:p>
    <w:tbl>
      <w:tblPr>
        <w:tblW w:w="653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1156"/>
        <w:gridCol w:w="1156"/>
        <w:gridCol w:w="164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Glendon E. French</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Glendon E. French</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bl>
    <w:p>
      <w:pPr>
        <w:pStyle w:val="TextBody"/>
        <w:bidi w:val="0"/>
        <w:spacing w:before="0" w:after="0"/>
        <w:jc w:val="left"/>
        <w:rPr/>
      </w:pPr>
      <w:r>
        <w:rPr/>
      </w:r>
    </w:p>
    <w:p>
      <w:pPr>
        <w:pStyle w:val="TextBody"/>
        <w:bidi w:val="0"/>
        <w:spacing w:lineRule="auto" w:line="288" w:before="240" w:after="283"/>
        <w:ind w:left="0" w:right="0" w:firstLine="556"/>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Pulmonx Corporation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Pulmonx Corporation (the “Company”) for the quarterly period ended June 30, 2026 as filed with the Securities and Exchange Commission on the date hereof (the “Report”), I, Derrick Sung, Chief Financial Officer of the Company, certify, pursuant to 18 U.S.C. Section 1350, as adopted pursuant to Section 906 of the Sarbanes-Oxley Act of 2002, that to the best of my knowledge:</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490"/>
        <w:jc w:val="left"/>
        <w:rPr/>
      </w:pPr>
      <w:r>
        <w:rPr/>
      </w:r>
    </w:p>
    <w:tbl>
      <w:tblPr>
        <w:tblW w:w="688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1260"/>
        <w:gridCol w:w="1260"/>
        <w:gridCol w:w="178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Derrick Sung</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Derrick Sung, Ph.D.</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Operating Officer and Chief Financial Officer</w:t>
            </w:r>
          </w:p>
        </w:tc>
      </w:tr>
    </w:tbl>
    <w:p>
      <w:pPr>
        <w:pStyle w:val="TextBody"/>
        <w:bidi w:val="0"/>
        <w:spacing w:before="0" w:after="0"/>
        <w:jc w:val="left"/>
        <w:rPr/>
      </w:pPr>
      <w:r>
        <w:rPr/>
      </w:r>
    </w:p>
    <w:p>
      <w:pPr>
        <w:pStyle w:val="TextBody"/>
        <w:bidi w:val="0"/>
        <w:spacing w:lineRule="auto" w:line="288" w:before="240" w:after="283"/>
        <w:ind w:left="0" w:right="0" w:firstLine="556"/>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Pulmonx Corporation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65259</Words>
  <Characters>364598</Characters>
  <CharactersWithSpaces>428078</CharactersWithSpaces>
  <Paragraphs>2812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