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100924.xml.htm"/>
      <w:bookmarkStart w:id="1" w:name="ksform409032026_1009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 Geoffrey Beran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PULMONX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Pulmonx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LUNG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455,498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453,108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451,578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449,832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by the reporting person to cover tax withholding obligations in connection with the vesting of the Restricted Stock Units (the "RSUs") granted on March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by the reporting person to cover tax withholding obligations in connection with the vesting of the RSUs granted on March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by the reporting person to cover tax withholding obligations in connection with the vesting of the RSUs granted on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sold by the reporting person to cover tax withholding obligations in connection with the vesting of the RSUs granted on March 1,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Aaron Lehman,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146" TargetMode="External"/><Relationship Id="rId5" Type="http://schemas.openxmlformats.org/officeDocument/2006/relationships/hyperlink" Target="http://www.sec.gov/cgi-bin/browse-edgar?action=getcompany&amp;CIK=00011275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3773</Characters>
  <CharactersWithSpaces>4383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