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817880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843280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jc w:val="center"/>
        <w:ind w:right="-22"/>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5"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112395</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43"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67945</wp:posOffset>
            </wp:positionV>
            <wp:extent cx="709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38"/>
          <w:szCs w:val="38"/>
          <w:b w:val="1"/>
          <w:bCs w:val="1"/>
          <w:color w:val="auto"/>
        </w:rPr>
        <w:t>PULMONX CORPORATION</w:t>
      </w:r>
    </w:p>
    <w:p>
      <w:pPr>
        <w:spacing w:after="0" w:line="56"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83820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3"/>
          </w:cols>
          <w:pgMar w:left="317" w:top="1440" w:right="359" w:bottom="1440" w:gutter="0" w:footer="0" w:header="0"/>
        </w:sectPr>
      </w:pPr>
    </w:p>
    <w:p>
      <w:pPr>
        <w:spacing w:after="0" w:line="200" w:lineRule="exact"/>
        <w:rPr>
          <w:sz w:val="24"/>
          <w:szCs w:val="24"/>
          <w:color w:val="auto"/>
        </w:rPr>
      </w:pPr>
    </w:p>
    <w:p>
      <w:pPr>
        <w:spacing w:after="0" w:line="310" w:lineRule="exact"/>
        <w:rPr>
          <w:sz w:val="24"/>
          <w:szCs w:val="24"/>
          <w:color w:val="auto"/>
        </w:rPr>
      </w:pPr>
    </w:p>
    <w:p>
      <w:pPr>
        <w:ind w:left="1843"/>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9"/>
          <w:szCs w:val="19"/>
          <w:b w:val="1"/>
          <w:bCs w:val="1"/>
          <w:color w:val="auto"/>
        </w:rPr>
        <w:t>001-39562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77-0424412</w:t>
      </w:r>
    </w:p>
    <w:p>
      <w:pPr>
        <w:spacing w:after="0" w:line="95" w:lineRule="exact"/>
        <w:rPr>
          <w:sz w:val="24"/>
          <w:szCs w:val="24"/>
          <w:color w:val="auto"/>
        </w:rPr>
      </w:pPr>
    </w:p>
    <w:p>
      <w:pPr>
        <w:sectPr>
          <w:pgSz w:w="11900" w:h="16838" w:orient="portrait"/>
          <w:cols w:equalWidth="0" w:num="3">
            <w:col w:w="4643" w:space="720"/>
            <w:col w:w="2600" w:space="720"/>
            <w:col w:w="2540"/>
          </w:cols>
          <w:pgMar w:left="317" w:top="1440" w:right="359" w:bottom="1440" w:gutter="0" w:footer="0" w:header="0"/>
          <w:type w:val="continuous"/>
        </w:sectPr>
      </w:pPr>
    </w:p>
    <w:p>
      <w:pPr>
        <w:ind w:left="1563"/>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63" w:lineRule="exact"/>
        <w:rPr>
          <w:sz w:val="24"/>
          <w:szCs w:val="24"/>
          <w:color w:val="auto"/>
        </w:rPr>
      </w:pPr>
    </w:p>
    <w:p>
      <w:pPr>
        <w:sectPr>
          <w:pgSz w:w="11900" w:h="16838" w:orient="portrait"/>
          <w:cols w:equalWidth="0" w:num="3">
            <w:col w:w="4383" w:space="720"/>
            <w:col w:w="2960" w:space="720"/>
            <w:col w:w="2440"/>
          </w:cols>
          <w:pgMar w:left="317" w:top="1440" w:right="359" w:bottom="1440" w:gutter="0" w:footer="0" w:header="0"/>
          <w:type w:val="continuous"/>
        </w:sectPr>
      </w:pPr>
    </w:p>
    <w:p>
      <w:pPr>
        <w:ind w:left="1823"/>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46" w:lineRule="exact"/>
        <w:rPr>
          <w:sz w:val="24"/>
          <w:szCs w:val="24"/>
          <w:color w:val="auto"/>
        </w:rPr>
      </w:pPr>
    </w:p>
    <w:p>
      <w:pPr>
        <w:sectPr>
          <w:pgSz w:w="11900" w:h="16838" w:orient="portrait"/>
          <w:cols w:equalWidth="0" w:num="2">
            <w:col w:w="7983" w:space="720"/>
            <w:col w:w="2520"/>
          </w:cols>
          <w:pgMar w:left="317" w:top="1440" w:right="359" w:bottom="1440" w:gutter="0" w:footer="0" w:header="0"/>
          <w:type w:val="continuous"/>
        </w:sectPr>
      </w:pPr>
    </w:p>
    <w:p>
      <w:pPr>
        <w:ind w:left="1303"/>
        <w:spacing w:after="0"/>
        <w:rPr>
          <w:sz w:val="20"/>
          <w:szCs w:val="20"/>
          <w:color w:val="auto"/>
        </w:rPr>
      </w:pPr>
      <w:r>
        <w:rPr>
          <w:rFonts w:ascii="Times New Roman" w:cs="Times New Roman" w:eastAsia="Times New Roman" w:hAnsi="Times New Roman"/>
          <w:sz w:val="19"/>
          <w:szCs w:val="19"/>
          <w:b w:val="1"/>
          <w:bCs w:val="1"/>
          <w:color w:val="auto"/>
        </w:rPr>
        <w:t>700 Chesapeake Drive</w:t>
      </w:r>
    </w:p>
    <w:p>
      <w:pPr>
        <w:sectPr>
          <w:pgSz w:w="11900" w:h="16838" w:orient="portrait"/>
          <w:cols w:equalWidth="0" w:num="1">
            <w:col w:w="11223"/>
          </w:cols>
          <w:pgMar w:left="317" w:top="1440" w:right="359" w:bottom="1440" w:gutter="0" w:footer="0" w:header="0"/>
          <w:type w:val="continuous"/>
        </w:sectPr>
      </w:pPr>
    </w:p>
    <w:p>
      <w:pPr>
        <w:spacing w:after="0" w:line="79" w:lineRule="exact"/>
        <w:rPr>
          <w:sz w:val="24"/>
          <w:szCs w:val="24"/>
          <w:color w:val="auto"/>
        </w:rPr>
      </w:pPr>
    </w:p>
    <w:p>
      <w:pPr>
        <w:ind w:left="1143"/>
        <w:spacing w:after="0"/>
        <w:rPr>
          <w:sz w:val="20"/>
          <w:szCs w:val="20"/>
          <w:color w:val="auto"/>
        </w:rPr>
      </w:pPr>
      <w:r>
        <w:rPr>
          <w:rFonts w:ascii="Times New Roman" w:cs="Times New Roman" w:eastAsia="Times New Roman" w:hAnsi="Times New Roman"/>
          <w:sz w:val="19"/>
          <w:szCs w:val="19"/>
          <w:b w:val="1"/>
          <w:bCs w:val="1"/>
          <w:color w:val="auto"/>
        </w:rPr>
        <w:t>Redwood City, CA</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94063</w:t>
      </w:r>
    </w:p>
    <w:p>
      <w:pPr>
        <w:spacing w:after="0" w:line="122" w:lineRule="exact"/>
        <w:rPr>
          <w:sz w:val="24"/>
          <w:szCs w:val="24"/>
          <w:color w:val="auto"/>
        </w:rPr>
      </w:pPr>
    </w:p>
    <w:p>
      <w:pPr>
        <w:sectPr>
          <w:pgSz w:w="11900" w:h="16838" w:orient="portrait"/>
          <w:cols w:equalWidth="0" w:num="2">
            <w:col w:w="8203" w:space="720"/>
            <w:col w:w="2300"/>
          </w:cols>
          <w:pgMar w:left="317" w:top="1440" w:right="359" w:bottom="1440" w:gutter="0" w:footer="0" w:header="0"/>
          <w:type w:val="continuous"/>
        </w:sectPr>
      </w:pPr>
    </w:p>
    <w:p>
      <w:pPr>
        <w:ind w:left="126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13" w:lineRule="exact"/>
        <w:rPr>
          <w:sz w:val="24"/>
          <w:szCs w:val="24"/>
          <w:color w:val="auto"/>
        </w:rPr>
      </w:pPr>
    </w:p>
    <w:p>
      <w:pPr>
        <w:sectPr>
          <w:pgSz w:w="11900" w:h="16838" w:orient="portrait"/>
          <w:cols w:equalWidth="0" w:num="2">
            <w:col w:w="8183" w:space="720"/>
            <w:col w:w="2320"/>
          </w:cols>
          <w:pgMar w:left="317" w:top="1440" w:right="359" w:bottom="1440" w:gutter="0" w:footer="0" w:header="0"/>
          <w:type w:val="continuous"/>
        </w:sectPr>
      </w:pPr>
    </w:p>
    <w:p>
      <w:pPr>
        <w:jc w:val="center"/>
        <w:ind w:right="-22"/>
        <w:spacing w:after="0"/>
        <w:rPr>
          <w:sz w:val="20"/>
          <w:szCs w:val="20"/>
          <w:color w:val="auto"/>
        </w:rPr>
      </w:pPr>
      <w:r>
        <w:rPr>
          <w:rFonts w:ascii="Times New Roman" w:cs="Times New Roman" w:eastAsia="Times New Roman" w:hAnsi="Times New Roman"/>
          <w:sz w:val="20"/>
          <w:szCs w:val="20"/>
          <w:b w:val="1"/>
          <w:bCs w:val="1"/>
          <w:color w:val="auto"/>
        </w:rPr>
        <w:t>(650)364-0400</w:t>
      </w:r>
    </w:p>
    <w:p>
      <w:pPr>
        <w:spacing w:after="0" w:line="15"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23"/>
          </w:cols>
          <w:pgMar w:left="317" w:top="1440" w:right="359" w:bottom="1440" w:gutter="0" w:footer="0" w:header="0"/>
          <w:type w:val="continuous"/>
        </w:sectPr>
      </w:pPr>
    </w:p>
    <w:p>
      <w:pPr>
        <w:spacing w:after="0" w:line="235"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4"/>
          <w:szCs w:val="24"/>
          <w:color w:val="auto"/>
        </w:rPr>
      </w:pPr>
    </w:p>
    <w:p>
      <w:pPr>
        <w:ind w:left="3" w:right="66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190" w:lineRule="exact"/>
        <w:rPr>
          <w:sz w:val="24"/>
          <w:szCs w:val="24"/>
          <w:color w:val="auto"/>
        </w:rPr>
      </w:pPr>
    </w:p>
    <w:p>
      <w:pPr>
        <w:ind w:left="343" w:hanging="343"/>
        <w:spacing w:after="0"/>
        <w:tabs>
          <w:tab w:leader="none" w:pos="3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3" w:hanging="343"/>
        <w:spacing w:after="0"/>
        <w:tabs>
          <w:tab w:leader="none" w:pos="3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3" w:hanging="343"/>
        <w:spacing w:after="0"/>
        <w:tabs>
          <w:tab w:leader="none" w:pos="3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3" w:hanging="343"/>
        <w:spacing w:after="0"/>
        <w:tabs>
          <w:tab w:leader="none" w:pos="3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ind w:left="3"/>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68" w:lineRule="exact"/>
        <w:rPr>
          <w:sz w:val="24"/>
          <w:szCs w:val="24"/>
          <w:color w:val="auto"/>
        </w:rPr>
      </w:pPr>
    </w:p>
    <w:tbl>
      <w:tblPr>
        <w:tblLayout w:type="fixed"/>
        <w:tblInd w:w="3" w:type="dxa"/>
        <w:tblCellMar>
          <w:top w:w="0" w:type="dxa"/>
          <w:left w:w="0" w:type="dxa"/>
          <w:bottom w:w="0" w:type="dxa"/>
          <w:right w:w="0" w:type="dxa"/>
        </w:tblCellMar>
      </w:tblPr>
      <w:tr>
        <w:trPr>
          <w:trHeight w:val="238"/>
        </w:trPr>
        <w:tc>
          <w:tcPr>
            <w:tcW w:w="36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3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tc>
        <w:tc>
          <w:tcPr>
            <w:tcW w:w="2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LUNG</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51" w:lineRule="exact"/>
        <w:rPr>
          <w:sz w:val="24"/>
          <w:szCs w:val="24"/>
          <w:color w:val="auto"/>
        </w:rPr>
      </w:pPr>
    </w:p>
    <w:p>
      <w:pPr>
        <w:ind w:left="3" w:right="82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5" w:lineRule="exact"/>
        <w:rPr>
          <w:sz w:val="24"/>
          <w:szCs w:val="24"/>
          <w:color w:val="auto"/>
        </w:rPr>
      </w:pPr>
    </w:p>
    <w:p>
      <w:pPr>
        <w:ind w:left="3"/>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261" w:lineRule="exact"/>
        <w:rPr>
          <w:sz w:val="24"/>
          <w:szCs w:val="24"/>
          <w:color w:val="auto"/>
        </w:rPr>
      </w:pPr>
    </w:p>
    <w:p>
      <w:pPr>
        <w:ind w:left="3" w:right="56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3"/>
          </w:cols>
          <w:pgMar w:left="317" w:top="1440" w:right="35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98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June 4, 2026, Pulmonx Corporation (the “Company”) held its 2026 Annual Meeting of Stockholders (the “Annual Meeting”). A total of 32,645,270 shares of the Company’s common stock were present or represented by proxy at the Annual Meeting, which represented approximately 77.29% of the Company’s 42,237,203 shares of common stock that were outstanding and entitled to vote at the meeting as of the record date of April 7, 2026. At the Annual Meeting, the stockholders of the Company considered the three proposals outlined below, each of which is described in more detail in the Company’s definitive proxy statement filed with the Securities and Exchange Commission on April 22, 2026 (the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p>
      <w:pPr>
        <w:spacing w:after="0" w:line="2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stockholders elected each of the three nominees for Class III director to serve until the Company’s 2029 Annual Meeting of Stockholders and until their successor has been elected and qualified. 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0628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3600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3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0" w:type="dxa"/>
            <w:vAlign w:val="bottom"/>
          </w:tcPr>
          <w:p>
            <w:pPr>
              <w:spacing w:after="0"/>
              <w:rPr>
                <w:sz w:val="20"/>
                <w:szCs w:val="20"/>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Thomas W. Burns</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19,751,638</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1,063,272</w:t>
            </w:r>
          </w:p>
        </w:tc>
        <w:tc>
          <w:tcPr>
            <w:tcW w:w="3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11,830,360</w:t>
            </w:r>
          </w:p>
        </w:tc>
        <w:tc>
          <w:tcPr>
            <w:tcW w:w="20" w:type="dxa"/>
            <w:vAlign w:val="bottom"/>
          </w:tcPr>
          <w:p>
            <w:pPr>
              <w:spacing w:after="0"/>
              <w:rPr>
                <w:sz w:val="21"/>
                <w:szCs w:val="21"/>
                <w:color w:val="auto"/>
              </w:rPr>
            </w:pPr>
          </w:p>
        </w:tc>
      </w:tr>
      <w:tr>
        <w:trPr>
          <w:trHeight w:val="221"/>
        </w:trPr>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Georgia Garinois-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17,680,826</w:t>
            </w:r>
          </w:p>
        </w:tc>
        <w:tc>
          <w:tcPr>
            <w:tcW w:w="420" w:type="dxa"/>
            <w:vAlign w:val="bottom"/>
          </w:tcPr>
          <w:p>
            <w:pPr>
              <w:spacing w:after="0"/>
              <w:rPr>
                <w:sz w:val="19"/>
                <w:szCs w:val="19"/>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3,134,084</w:t>
            </w:r>
          </w:p>
        </w:tc>
        <w:tc>
          <w:tcPr>
            <w:tcW w:w="32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11,830,360</w:t>
            </w:r>
          </w:p>
        </w:tc>
        <w:tc>
          <w:tcPr>
            <w:tcW w:w="20" w:type="dxa"/>
            <w:vAlign w:val="bottom"/>
          </w:tcPr>
          <w:p>
            <w:pPr>
              <w:spacing w:after="0"/>
              <w:rPr>
                <w:sz w:val="19"/>
                <w:szCs w:val="19"/>
                <w:color w:val="auto"/>
              </w:rPr>
            </w:pPr>
          </w:p>
        </w:tc>
      </w:tr>
      <w:tr>
        <w:trPr>
          <w:trHeight w:val="238"/>
        </w:trPr>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Melenikiotou</w:t>
            </w:r>
          </w:p>
        </w:tc>
        <w:tc>
          <w:tcPr>
            <w:tcW w:w="3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Dana G. Mead, Jr.</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19,853,196</w:t>
            </w:r>
          </w:p>
        </w:tc>
        <w:tc>
          <w:tcPr>
            <w:tcW w:w="4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961,714</w:t>
            </w:r>
          </w:p>
        </w:tc>
        <w:tc>
          <w:tcPr>
            <w:tcW w:w="320" w:type="dxa"/>
            <w:vAlign w:val="bottom"/>
            <w:shd w:val="clear" w:color="auto" w:fill="CCEEFF"/>
          </w:tcPr>
          <w:p>
            <w:pPr>
              <w:spacing w:after="0"/>
              <w:rPr>
                <w:sz w:val="21"/>
                <w:szCs w:val="21"/>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11,830,360</w:t>
            </w:r>
          </w:p>
        </w:tc>
        <w:tc>
          <w:tcPr>
            <w:tcW w:w="20" w:type="dxa"/>
            <w:vAlign w:val="bottom"/>
          </w:tcPr>
          <w:p>
            <w:pPr>
              <w:spacing w:after="0"/>
              <w:rPr>
                <w:sz w:val="21"/>
                <w:szCs w:val="21"/>
                <w:color w:val="auto"/>
              </w:rPr>
            </w:pPr>
          </w:p>
        </w:tc>
      </w:tr>
      <w:tr>
        <w:trPr>
          <w:trHeight w:val="27"/>
        </w:trPr>
        <w:tc>
          <w:tcPr>
            <w:tcW w:w="24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-170815</wp:posOffset>
            </wp:positionV>
            <wp:extent cx="889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 Ratification of Appointment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ratified the appointment of BDO USA, P.C. as the Company’s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503174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31740" cy="3600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 w:type="dxa"/>
            <w:vAlign w:val="bottom"/>
          </w:tcPr>
          <w:p>
            <w:pPr>
              <w:spacing w:after="0"/>
              <w:rPr>
                <w:sz w:val="20"/>
                <w:szCs w:val="20"/>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31,458,698</w:t>
            </w:r>
          </w:p>
        </w:tc>
        <w:tc>
          <w:tcPr>
            <w:tcW w:w="340" w:type="dxa"/>
            <w:vAlign w:val="bottom"/>
            <w:shd w:val="clear" w:color="auto" w:fill="CCEEFF"/>
          </w:tcPr>
          <w:p>
            <w:pPr>
              <w:spacing w:after="0"/>
              <w:rPr>
                <w:sz w:val="20"/>
                <w:szCs w:val="20"/>
                <w:color w:val="auto"/>
              </w:rPr>
            </w:pPr>
          </w:p>
        </w:tc>
        <w:tc>
          <w:tcPr>
            <w:tcW w:w="33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97,509</w:t>
            </w:r>
          </w:p>
        </w:tc>
        <w:tc>
          <w:tcPr>
            <w:tcW w:w="4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1,089,063</w:t>
            </w:r>
          </w:p>
        </w:tc>
        <w:tc>
          <w:tcPr>
            <w:tcW w:w="20" w:type="dxa"/>
            <w:vAlign w:val="bottom"/>
          </w:tcPr>
          <w:p>
            <w:pPr>
              <w:spacing w:after="0"/>
              <w:rPr>
                <w:sz w:val="20"/>
                <w:szCs w:val="20"/>
                <w:color w:val="auto"/>
              </w:rPr>
            </w:pPr>
          </w:p>
        </w:tc>
      </w:tr>
      <w:tr>
        <w:trPr>
          <w:trHeight w:val="27"/>
        </w:trPr>
        <w:tc>
          <w:tcPr>
            <w:tcW w:w="2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broker non-votes with respect to Proposal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 Non-Binding Advisory Vote to Approve the Company’s Executive Compensation</w:t>
      </w:r>
    </w:p>
    <w:p>
      <w:pPr>
        <w:spacing w:after="0" w:line="24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stockholders approved, on a non-binding advisory basis, the Company’s executive compensation as disclosed in the Proxy Statement. 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9803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3600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0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17,196,362</w:t>
            </w:r>
          </w:p>
        </w:tc>
        <w:tc>
          <w:tcPr>
            <w:tcW w:w="36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3,485,784</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132,764</w:t>
            </w:r>
          </w:p>
        </w:tc>
        <w:tc>
          <w:tcPr>
            <w:tcW w:w="3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11,830,360</w:t>
            </w:r>
          </w:p>
        </w:tc>
        <w:tc>
          <w:tcPr>
            <w:tcW w:w="60" w:type="dxa"/>
            <w:vAlign w:val="bottom"/>
          </w:tcPr>
          <w:p>
            <w:pPr>
              <w:spacing w:after="0"/>
              <w:rPr>
                <w:sz w:val="21"/>
                <w:szCs w:val="21"/>
                <w:color w:val="auto"/>
              </w:rPr>
            </w:pPr>
          </w:p>
        </w:tc>
      </w:tr>
      <w:tr>
        <w:trPr>
          <w:trHeight w:val="1087"/>
        </w:trPr>
        <w:tc>
          <w:tcPr>
            <w:tcW w:w="2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Pulmonx Corporation</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4, 2026</w:t>
      </w:r>
    </w:p>
    <w:p>
      <w:pPr>
        <w:spacing w:after="0" w:line="30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By: /s/ David Lehman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34290</wp:posOffset>
            </wp:positionV>
            <wp:extent cx="17741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5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David Lehman</w:t>
      </w:r>
    </w:p>
    <w:p>
      <w:pPr>
        <w:spacing w:after="0" w:line="6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1020"/>
      </w:cols>
      <w:pgMar w:left="320" w:top="36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2026-06-04T15:06:05Z</dcterms:created>
  <dcterms:modified xsi:type="dcterms:W3CDTF">2026-06-04T15:06:05Z</dcterms:modified>
</cp:coreProperties>
</file>